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POR EL QUE SE APRUEBAN LOS LINEAMIENTOS PARA LA INSCRIPCIÓN, EMISIÓN DE HOJAS MEMBRETADAS, REGISTRO DE CONTRATOS CELEBRADOS ENTRE PROVEEDORES Y SUJETOS OBLIGADOS, REFRENDO, CANCELACIÓN VOLUNTARIA, REINSCRIPCIÓN, CANCELACIÓN POR AUTORIDAD Y REACTIVACIÓN, EN EL REGISTRO NACIONAL DE PROVEEDORES, DE CONFORMIDAD CON LOS ARTÍCULOS 207, 356, 357, 359, 359 BIS, 360, 361, 361 BIS Y 361 TER, DEL REGLAMENTO DE FISCALIZACIÓN.</w:t>
      </w:r>
    </w:p>
    <w:p>
      <w:pPr>
        <w:pStyle w:val="Estilo"/>
      </w:pPr>
      <w:r>
        <w:t/>
      </w:r>
    </w:p>
    <w:p>
      <w:pPr>
        <w:pStyle w:val="Estilo"/>
      </w:pPr>
      <w:r>
        <w:t>TEXTO ORIGINAL.</w:t>
      </w:r>
    </w:p>
    <w:p>
      <w:pPr>
        <w:pStyle w:val="Estilo"/>
      </w:pPr>
      <w:r>
        <w:t/>
      </w:r>
    </w:p>
    <w:p>
      <w:pPr>
        <w:pStyle w:val="Estilo"/>
      </w:pPr>
      <w:r>
        <w:t>Acuerdo publicado en el Número 9 del Diario Oficial de la Federación, el jueves 13 de febrero de 2020.</w:t>
      </w:r>
    </w:p>
    <w:p>
      <w:pPr>
        <w:pStyle w:val="Estilo"/>
      </w:pPr>
      <w:r>
        <w:t/>
      </w:r>
    </w:p>
    <w:p>
      <w:pPr>
        <w:pStyle w:val="Estilo"/>
      </w:pPr>
      <w:r>
        <w:t>Al margen un sello con el Escudo Nacional, que dice: Estados Unidos Mexicanos.- Instituto Nacional Electoral.- Consejo General.- INE/CG27/2020.</w:t>
      </w:r>
    </w:p>
    <w:p>
      <w:pPr>
        <w:pStyle w:val="Estilo"/>
      </w:pPr>
      <w:r>
        <w:t/>
      </w:r>
    </w:p>
    <w:p>
      <w:pPr>
        <w:pStyle w:val="Estilo"/>
      </w:pPr>
      <w:r>
        <w:t>ACUERDO DEL CONSEJO GENERAL DEL INSTITUTO NACIONAL ELECTORAL, POR EL QUE SE APRUEBAN LOS LINEAMIENTOS PARA LA INSCRIPCIÓN, EMISIÓN DE HOJAS MEMBRETADAS, REGISTRO DE CONTRATOS CELEBRADOS ENTRE PROVEEDORES Y SUJETOS OBLIGADOS, REFRENDO, CANCELACIÓN VOLUNTARIA, REINSCRIPCIÓN, CANCELACIÓN POR AUTORIDAD Y REACTIVACIÓN, EN EL REGISTRO NACIONAL DE PROVEEDORES, DE CONFORMIDAD CON LOS ARTÍCULOS 207, 356, 357, 359, 359 BIS, 360, 361, 361 BIS Y 361 TER, DEL REGLAMENTO DE FISCALIZACIÓN</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En virtud de lo anterior y con fundamento en lo previsto en los artículos 41, bases |, segundo párrafo; ll, penúltimo párrafo; y V, apartados A, párrafos primero y segundo y B, penúltimo párrafo de la Constitución Política de los Estados Unidos Mexicanos; 35, 44 numeral 1, inciso jj); 190 numeral 2; 191 numeral 1 inciso a); 192 numeral 1 incisos a), d), e), numeral 2 y 199, numeral 1 inciso h), de la Ley General de Instituciones y Procedimientos Electorales; 356, 357, 359 bis, 360, 361 Bis y 361 Ter del Reglamento de Fiscalización, se ha determinado emitir el siguiente:</w:t>
      </w:r>
    </w:p>
    <w:p>
      <w:pPr>
        <w:pStyle w:val="Estilo"/>
      </w:pPr>
      <w:r>
        <w:t/>
      </w:r>
    </w:p>
    <w:p>
      <w:pPr>
        <w:pStyle w:val="Estilo"/>
      </w:pPr>
      <w:r>
        <w:t/>
      </w:r>
    </w:p>
    <w:p>
      <w:pPr>
        <w:pStyle w:val="Estilo"/>
      </w:pPr>
      <w:r>
        <w:t>ACUERDO</w:t>
      </w:r>
    </w:p>
    <w:p>
      <w:pPr>
        <w:pStyle w:val="Estilo"/>
      </w:pPr>
      <w:r>
        <w:t/>
      </w:r>
    </w:p>
    <w:p>
      <w:pPr>
        <w:pStyle w:val="Estilo"/>
      </w:pPr>
      <w:r>
        <w:t>PRIMERO. Se aprueban los Lineamientos para la inscripción, emisión de hojas membretadas, registro de contratos celebrados entre proveedores y sujetos obligados, refrendo, cancelación voluntaria, reinscripción, cancelación por autoridad y reactivación, en el Registro Nacional de Proveedores, de conformidad con los artículos 207, 356, 357, 359, 359 bis, 360, 361, 361 Bis y 361 Ter, del Reglamento de fiscalización, en los siguientes términos:</w:t>
      </w:r>
    </w:p>
    <w:p>
      <w:pPr>
        <w:pStyle w:val="Estilo"/>
      </w:pPr>
      <w:r>
        <w:t/>
      </w:r>
    </w:p>
    <w:p>
      <w:pPr>
        <w:pStyle w:val="Estilo"/>
      </w:pPr>
      <w:r>
        <w:t/>
      </w:r>
    </w:p>
    <w:p>
      <w:pPr>
        <w:pStyle w:val="Estilo"/>
      </w:pPr>
      <w:r>
        <w:t>Definiciones</w:t>
      </w:r>
    </w:p>
    <w:p>
      <w:pPr>
        <w:pStyle w:val="Estilo"/>
      </w:pPr>
      <w:r>
        <w:t/>
      </w:r>
    </w:p>
    <w:p>
      <w:pPr>
        <w:pStyle w:val="Estilo"/>
      </w:pPr>
      <w:r>
        <w:t>Artículo 1.- Para efectos de los presentes Lineamientos se entenderá por:</w:t>
      </w:r>
    </w:p>
    <w:p>
      <w:pPr>
        <w:pStyle w:val="Estilo"/>
      </w:pPr>
      <w:r>
        <w:t/>
      </w:r>
    </w:p>
    <w:p>
      <w:pPr>
        <w:pStyle w:val="Estilo"/>
      </w:pPr>
      <w:r>
        <w:t>Comisión: La Comisión de Fiscalización, del Consejo General del Instituto Nacional Electoral.</w:t>
      </w:r>
    </w:p>
    <w:p>
      <w:pPr>
        <w:pStyle w:val="Estilo"/>
      </w:pPr>
      <w:r>
        <w:t/>
      </w:r>
    </w:p>
    <w:p>
      <w:pPr>
        <w:pStyle w:val="Estilo"/>
      </w:pPr>
      <w:r>
        <w:t>Instituto: El Instituto Nacional Electoral.</w:t>
      </w:r>
    </w:p>
    <w:p>
      <w:pPr>
        <w:pStyle w:val="Estilo"/>
      </w:pPr>
      <w:r>
        <w:t/>
      </w:r>
    </w:p>
    <w:p>
      <w:pPr>
        <w:pStyle w:val="Estilo"/>
      </w:pPr>
      <w:r>
        <w:t>Proveedores: Las personas físicas o morales que vendan, enajenen, arrenden o proporcionen bienes o servicios de manera onerosa a los partidos políticos, coaliciones, precandidatos, candidatos, aspirantes o candidatos independientes.</w:t>
      </w:r>
    </w:p>
    <w:p>
      <w:pPr>
        <w:pStyle w:val="Estilo"/>
      </w:pPr>
      <w:r>
        <w:t/>
      </w:r>
    </w:p>
    <w:p>
      <w:pPr>
        <w:pStyle w:val="Estilo"/>
      </w:pPr>
      <w:r>
        <w:t>RFC: Registro Federal de Contribuyentes, del Servicio de Administración Tributaria.</w:t>
      </w:r>
    </w:p>
    <w:p>
      <w:pPr>
        <w:pStyle w:val="Estilo"/>
      </w:pPr>
      <w:r>
        <w:t/>
      </w:r>
    </w:p>
    <w:p>
      <w:pPr>
        <w:pStyle w:val="Estilo"/>
      </w:pPr>
      <w:r>
        <w:t>Registro: El Registro Nacional de Proveedores.</w:t>
      </w:r>
    </w:p>
    <w:p>
      <w:pPr>
        <w:pStyle w:val="Estilo"/>
      </w:pPr>
      <w:r>
        <w:t/>
      </w:r>
    </w:p>
    <w:p>
      <w:pPr>
        <w:pStyle w:val="Estilo"/>
      </w:pPr>
      <w:r>
        <w:t>Reglamento: Reglamento de Fiscalización.</w:t>
      </w:r>
    </w:p>
    <w:p>
      <w:pPr>
        <w:pStyle w:val="Estilo"/>
      </w:pPr>
      <w:r>
        <w:t/>
      </w:r>
    </w:p>
    <w:p>
      <w:pPr>
        <w:pStyle w:val="Estilo"/>
      </w:pPr>
      <w:r>
        <w:t>Sistema: Herramienta tecnológica del Instituto Nacional Electoral, en la que opera el Registro Nacional de Proveedores.</w:t>
      </w:r>
    </w:p>
    <w:p>
      <w:pPr>
        <w:pStyle w:val="Estilo"/>
      </w:pPr>
      <w:r>
        <w:t/>
      </w:r>
    </w:p>
    <w:p>
      <w:pPr>
        <w:pStyle w:val="Estilo"/>
      </w:pPr>
      <w:r>
        <w:t>SAT: Servicio de Administración Tributaria.</w:t>
      </w:r>
    </w:p>
    <w:p>
      <w:pPr>
        <w:pStyle w:val="Estilo"/>
      </w:pPr>
      <w:r>
        <w:t/>
      </w:r>
    </w:p>
    <w:p>
      <w:pPr>
        <w:pStyle w:val="Estilo"/>
      </w:pPr>
      <w:r>
        <w:t>UMA: Unidad de Medida y Actualización.</w:t>
      </w:r>
    </w:p>
    <w:p>
      <w:pPr>
        <w:pStyle w:val="Estilo"/>
      </w:pPr>
      <w:r>
        <w:t/>
      </w:r>
    </w:p>
    <w:p>
      <w:pPr>
        <w:pStyle w:val="Estilo"/>
      </w:pPr>
      <w:r>
        <w:t>Unidad Técnica: La Unidad Técnica de Fiscalización, del Instituto Nacional Electoral.</w:t>
      </w:r>
    </w:p>
    <w:p>
      <w:pPr>
        <w:pStyle w:val="Estilo"/>
      </w:pPr>
      <w:r>
        <w:t/>
      </w:r>
    </w:p>
    <w:p>
      <w:pPr>
        <w:pStyle w:val="Estilo"/>
      </w:pPr>
      <w:r>
        <w:t>Artículo 2.- El Consejo General, previa aprobación de la Comisión y con el apoyo de la Unidad Técnica, de conformidad con los artículos 207, 356, 357, 359, 359 BIS, 360, 361, 361 Bis y 361 Ter, del Reglamento, establece en los presentes Lineamientos, los requisitos, procedimientos y plazos para realizar la inscripción, emisión de hojas membretadas, registro de contratos celebrados entre proveedores y sujetos obligados, refrendo, cancelación voluntaria, reinscripción, cancelación por autoridad y reactivación, en el Registro a los Proveedores.</w:t>
      </w:r>
    </w:p>
    <w:p>
      <w:pPr>
        <w:pStyle w:val="Estilo"/>
      </w:pPr>
      <w:r>
        <w:t/>
      </w:r>
    </w:p>
    <w:p>
      <w:pPr>
        <w:pStyle w:val="Estilo"/>
      </w:pPr>
      <w:r>
        <w:t>Artículo 3.- El Sistema estará disponible todos los días del año, salvo en los periodos que el Instituto determine para el mantenimiento del mismo, en cuyo caso se informará de manera oportuna a los usuarios mediante un aviso publicado en el portal de internet del Instituto.</w:t>
      </w:r>
    </w:p>
    <w:p>
      <w:pPr>
        <w:pStyle w:val="Estilo"/>
      </w:pPr>
      <w:r>
        <w:t/>
      </w:r>
    </w:p>
    <w:p>
      <w:pPr>
        <w:pStyle w:val="Estilo"/>
      </w:pPr>
      <w:r>
        <w:t>Artículo 4.- En el caso de presentarse fallas técnicas en el Registro Nacional de Proveedores, existirá un plan de contingencia para el sistema, mismo que será publicado en el centro de ayuda del RNP y deberá ser aplicado por el proveedor.</w:t>
      </w:r>
    </w:p>
    <w:p>
      <w:pPr>
        <w:pStyle w:val="Estilo"/>
      </w:pPr>
      <w:r>
        <w:t/>
      </w:r>
    </w:p>
    <w:p>
      <w:pPr>
        <w:pStyle w:val="Estilo"/>
      </w:pPr>
      <w:r>
        <w:t/>
      </w:r>
    </w:p>
    <w:p>
      <w:pPr>
        <w:pStyle w:val="Estilo"/>
      </w:pPr>
      <w:r>
        <w:t>DE LA INSCRIPCIÓN</w:t>
      </w:r>
    </w:p>
    <w:p>
      <w:pPr>
        <w:pStyle w:val="Estilo"/>
      </w:pPr>
      <w:r>
        <w:t/>
      </w:r>
    </w:p>
    <w:p>
      <w:pPr>
        <w:pStyle w:val="Estilo"/>
      </w:pPr>
      <w:r>
        <w:t>Artículo 5.- Conforme a lo dispuesto en el párrafo 2 del artículo 356 del Reglamento, están obligados a inscribirse en el Registro Nacional de Proveedores, cuando se trate de los bienes y servicios siguientes:</w:t>
      </w:r>
    </w:p>
    <w:p>
      <w:pPr>
        <w:pStyle w:val="Estilo"/>
      </w:pPr>
      <w:r>
        <w:t/>
      </w:r>
    </w:p>
    <w:p>
      <w:pPr>
        <w:pStyle w:val="Estilo"/>
      </w:pPr>
      <w:r>
        <w:t>a) Contratación de todo tipo de propaganda incluyendo utilitaria y publicidad, así como espectáculos, cantantes y grupos musicales, sin importar el monto de la contratación.</w:t>
      </w:r>
    </w:p>
    <w:p>
      <w:pPr>
        <w:pStyle w:val="Estilo"/>
      </w:pPr>
      <w:r>
        <w:t/>
      </w:r>
    </w:p>
    <w:p>
      <w:pPr>
        <w:pStyle w:val="Estilo"/>
      </w:pPr>
      <w:r>
        <w:t>b) Cuando el monto de lo contratado supere las 1,500 UMA en bienes y servicios contratados en la realización de eventos (distintos a los descritos en el inciso a).</w:t>
      </w:r>
    </w:p>
    <w:p>
      <w:pPr>
        <w:pStyle w:val="Estilo"/>
      </w:pPr>
      <w:r>
        <w:t/>
      </w:r>
    </w:p>
    <w:p>
      <w:pPr>
        <w:pStyle w:val="Estilo"/>
      </w:pPr>
      <w:r>
        <w:t>El monto de 1,500 UMA se calculará considerando todas las operaciones realizadas en el mismo periodo con uno o más sujetos obligados, para estos efectos se tomará como inicio del periodo el momento en que se comenzó a realizar operaciones con los sujetos obligados y como fin del mismo el 31 de diciembre del ejercicio correspondiente.</w:t>
      </w:r>
    </w:p>
    <w:p>
      <w:pPr>
        <w:pStyle w:val="Estilo"/>
      </w:pPr>
      <w:r>
        <w:t/>
      </w:r>
    </w:p>
    <w:p>
      <w:pPr>
        <w:pStyle w:val="Estilo"/>
      </w:pPr>
      <w:r>
        <w:t>La inscripción deberá realizarse a más tardar dentro de los 10 días siguientes a aquel en que el proveedor se ubique en alguno de los supuestos establecidos en los incisos a) y b) de este artículo.</w:t>
      </w:r>
    </w:p>
    <w:p>
      <w:pPr>
        <w:pStyle w:val="Estilo"/>
      </w:pPr>
      <w:r>
        <w:t/>
      </w:r>
    </w:p>
    <w:p>
      <w:pPr>
        <w:pStyle w:val="Estilo"/>
      </w:pPr>
      <w:r>
        <w:t>No obstante, cualquier persona física o moral que venda, enajene, arrende o proporcione bienes o servicios que así lo desee podrá inscribirse en el Registro, aun cuando no se ubique en alguno de los supuestos anteriores.</w:t>
      </w:r>
    </w:p>
    <w:p>
      <w:pPr>
        <w:pStyle w:val="Estilo"/>
      </w:pPr>
      <w:r>
        <w:t/>
      </w:r>
    </w:p>
    <w:p>
      <w:pPr>
        <w:pStyle w:val="Estilo"/>
      </w:pPr>
      <w:r>
        <w:t>Artículo 6.- Los requisitos que deben reunir los Proveedores para inscribirse en el Registro son los siguientes:</w:t>
      </w:r>
    </w:p>
    <w:p>
      <w:pPr>
        <w:pStyle w:val="Estilo"/>
      </w:pPr>
      <w:r>
        <w:t/>
      </w:r>
    </w:p>
    <w:p>
      <w:pPr>
        <w:pStyle w:val="Estilo"/>
      </w:pPr>
      <w:r>
        <w:t>a) Ser persona física o moral que venda, enajene, otorgue en arrendamiento o proporcione bienes o servicios de manera onerosa a los partidos políticos, coaliciones, precandidatos, candidatos, aspirantes o candidatos independientes, en términos de lo establecido en el numeral 2 del artículo 356 del Reglamento de Fiscalización.</w:t>
      </w:r>
    </w:p>
    <w:p>
      <w:pPr>
        <w:pStyle w:val="Estilo"/>
      </w:pPr>
      <w:r>
        <w:t/>
      </w:r>
    </w:p>
    <w:p>
      <w:pPr>
        <w:pStyle w:val="Estilo"/>
      </w:pPr>
      <w:r>
        <w:t>b) Estar inscrito y con el estatus de “Activo” en el RFC, del SAT.</w:t>
      </w:r>
    </w:p>
    <w:p>
      <w:pPr>
        <w:pStyle w:val="Estilo"/>
      </w:pPr>
      <w:r>
        <w:t/>
      </w:r>
    </w:p>
    <w:p>
      <w:pPr>
        <w:pStyle w:val="Estilo"/>
      </w:pPr>
      <w:r>
        <w:t>c) Contar con firma electrónica avanzada (e. firma) vigente y activa, emitida por el SAT.</w:t>
      </w:r>
    </w:p>
    <w:p>
      <w:pPr>
        <w:pStyle w:val="Estilo"/>
      </w:pPr>
      <w:r>
        <w:t/>
      </w:r>
    </w:p>
    <w:p>
      <w:pPr>
        <w:pStyle w:val="Estilo"/>
      </w:pPr>
      <w:r>
        <w:t>Artículo 7.- De conformidad con el artículo 357 del Reglamento, los proveedores que deban inscribirse en el Registro, así como quienes, sin encontrarse obligados, deseen inscribirse, deberán observar el procedimiento que se describe a continuación:</w:t>
      </w:r>
    </w:p>
    <w:p>
      <w:pPr>
        <w:pStyle w:val="Estilo"/>
      </w:pPr>
      <w:r>
        <w:t/>
      </w:r>
    </w:p>
    <w:p>
      <w:pPr>
        <w:pStyle w:val="Estilo"/>
      </w:pPr>
      <w:r>
        <w:t>a) Ingresar a la página del Instituto, en cualquiera de los siguientes vínculos: www.ine.mx, en el apartado correspondiente al Registro Nacional de Proveedores, o: https://rnp.ine.mx.</w:t>
      </w:r>
    </w:p>
    <w:p>
      <w:pPr>
        <w:pStyle w:val="Estilo"/>
      </w:pPr>
      <w:r>
        <w:t/>
      </w:r>
    </w:p>
    <w:p>
      <w:pPr>
        <w:pStyle w:val="Estilo"/>
      </w:pPr>
      <w:r>
        <w:t>b) En la sección “Acceso a Proveedores”, ingresará al Registro utilizando los archivos “.cer” y “.key” de su e.firma, y capturará la contraseña de su clave privada.</w:t>
      </w:r>
    </w:p>
    <w:p>
      <w:pPr>
        <w:pStyle w:val="Estilo"/>
      </w:pPr>
      <w:r>
        <w:t/>
      </w:r>
    </w:p>
    <w:p>
      <w:pPr>
        <w:pStyle w:val="Estilo"/>
      </w:pPr>
      <w:r>
        <w:t>c) El Instituto validará, en tiempo real, con el SAT, que el proveedor se encuentre inscrito y con el estatus de “Activo”, en el RFC, así como la vigencia de su e.firma, de conformidad con el Convenio de colaboración que celebran, por una parte, el Instituto Nacional Electoral y el Servicio de Administración Tributaria, para la coordinación de acciones relacionadas con el intercambio de información y cobranza.</w:t>
      </w:r>
    </w:p>
    <w:p>
      <w:pPr>
        <w:pStyle w:val="Estilo"/>
      </w:pPr>
      <w:r>
        <w:t/>
      </w:r>
    </w:p>
    <w:p>
      <w:pPr>
        <w:pStyle w:val="Estilo"/>
      </w:pPr>
      <w:r>
        <w:t>d) Cumplidas las condiciones antes descritas, el Sistema mostrará un formato electrónico pre-cargado con sus datos fiscales de identidad, domicilio fiscal y, en su caso, los de su o sus representantes legales registrados ante dicho órgano desconcentrado, debiendo actualizar, en el mismo sitio, la información de su o sus representantes legales, cuando ésta sea distinta a la que se observe en el Sistema.</w:t>
      </w:r>
    </w:p>
    <w:p>
      <w:pPr>
        <w:pStyle w:val="Estilo"/>
      </w:pPr>
      <w:r>
        <w:t/>
      </w:r>
    </w:p>
    <w:p>
      <w:pPr>
        <w:pStyle w:val="Estilo"/>
      </w:pPr>
      <w:r>
        <w:t>e) Para el caso de que la información correspondiente al proveedor, referida a su identidad o domicilio fiscal no fuere la correcta, o no estuviere actualizada, deberá acudir al SAT a efecto de proceder a corregir o actualizar la misma.</w:t>
      </w:r>
    </w:p>
    <w:p>
      <w:pPr>
        <w:pStyle w:val="Estilo"/>
      </w:pPr>
      <w:r>
        <w:t/>
      </w:r>
    </w:p>
    <w:p>
      <w:pPr>
        <w:pStyle w:val="Estilo"/>
      </w:pPr>
      <w:r>
        <w:t>f) Una vez que la información se encuentre actualizada, deberá validar su información fiscal precargada en el Registro.</w:t>
      </w:r>
    </w:p>
    <w:p>
      <w:pPr>
        <w:pStyle w:val="Estilo"/>
      </w:pPr>
      <w:r>
        <w:t/>
      </w:r>
    </w:p>
    <w:p>
      <w:pPr>
        <w:pStyle w:val="Estilo"/>
      </w:pPr>
      <w:r>
        <w:t>g) Proporcionará un domicilio para recibir notificaciones, el cual podrá coincidir con su domicilio fiscal.</w:t>
      </w:r>
    </w:p>
    <w:p>
      <w:pPr>
        <w:pStyle w:val="Estilo"/>
      </w:pPr>
      <w:r>
        <w:t/>
      </w:r>
    </w:p>
    <w:p>
      <w:pPr>
        <w:pStyle w:val="Estilo"/>
      </w:pPr>
      <w:r>
        <w:t>h) Deberá proporcionar los datos del contacto para recibir comunicados o información relacionada con el Registro.</w:t>
      </w:r>
    </w:p>
    <w:p>
      <w:pPr>
        <w:pStyle w:val="Estilo"/>
      </w:pPr>
      <w:r>
        <w:t/>
      </w:r>
    </w:p>
    <w:p>
      <w:pPr>
        <w:pStyle w:val="Estilo"/>
      </w:pPr>
      <w:r>
        <w:t>i) Deberá realizar el alta de cuando menos un producto o servicio que ofrezca. Tratándose de espectaculares, al realizar su alta en el Registro le otorgará el identificador a que hace referencia el artículo 207, numeral 5 del Reglamento.</w:t>
      </w:r>
    </w:p>
    <w:p>
      <w:pPr>
        <w:pStyle w:val="Estilo"/>
      </w:pPr>
      <w:r>
        <w:t/>
      </w:r>
    </w:p>
    <w:p>
      <w:pPr>
        <w:pStyle w:val="Estilo"/>
      </w:pPr>
      <w:r>
        <w:t>j) Indicará, según corresponda, si se trata de una inscripción o reinscripción.</w:t>
      </w:r>
    </w:p>
    <w:p>
      <w:pPr>
        <w:pStyle w:val="Estilo"/>
      </w:pPr>
      <w:r>
        <w:t/>
      </w:r>
    </w:p>
    <w:p>
      <w:pPr>
        <w:pStyle w:val="Estilo"/>
      </w:pPr>
      <w:r>
        <w:t>Aceptará los términos y condiciones en el uso del Registro y validará la información capturada, utilizando para ello su e.firma.</w:t>
      </w:r>
    </w:p>
    <w:p>
      <w:pPr>
        <w:pStyle w:val="Estilo"/>
      </w:pPr>
      <w:r>
        <w:t/>
      </w:r>
    </w:p>
    <w:p>
      <w:pPr>
        <w:pStyle w:val="Estilo"/>
      </w:pPr>
      <w:r>
        <w:t>k) El sistema emitirá un acuse que avalará el trámite efectuado, según sea el caso.</w:t>
      </w:r>
    </w:p>
    <w:p>
      <w:pPr>
        <w:pStyle w:val="Estilo"/>
      </w:pPr>
      <w:r>
        <w:t/>
      </w:r>
    </w:p>
    <w:p>
      <w:pPr>
        <w:pStyle w:val="Estilo"/>
      </w:pPr>
      <w:r>
        <w:t>Tratándose de personas morales, deberán utilizar la e.firma asociada al RFC de la misma, por lo que, no se deberán utilizar la e.firma del representante legal.</w:t>
      </w:r>
    </w:p>
    <w:p>
      <w:pPr>
        <w:pStyle w:val="Estilo"/>
      </w:pPr>
      <w:r>
        <w:t/>
      </w:r>
    </w:p>
    <w:p>
      <w:pPr>
        <w:pStyle w:val="Estilo"/>
      </w:pPr>
      <w:r>
        <w:t>Artículo 8.- Si al llevar a cabo la inscripción no es posible pre-cargar el formato con la información que obra en las bases de datos del SAT, el sistema emitirá un mensaje de alerta indicando esta situación al proveedor, a fin de que éste pueda registrar su teléfono y correo electrónico de contacto, para que una vez restablecido el servicio se haga de su conocimiento a fin de que pueda concluir su trámite, en tanto y de manera provisional el Proveedor se encontrará en un estatus de pre-registro.</w:t>
      </w:r>
    </w:p>
    <w:p>
      <w:pPr>
        <w:pStyle w:val="Estilo"/>
      </w:pPr>
      <w:r>
        <w:t/>
      </w:r>
    </w:p>
    <w:p>
      <w:pPr>
        <w:pStyle w:val="Estilo"/>
      </w:pPr>
      <w:r>
        <w:t>Artículo 9.- La fecha de inscripción será la fecha de presentación del trámite respectivo, excepto en los casos en los cuales se utiliza la figura del pre-registro.</w:t>
      </w:r>
    </w:p>
    <w:p>
      <w:pPr>
        <w:pStyle w:val="Estilo"/>
      </w:pPr>
      <w:r>
        <w:t/>
      </w:r>
    </w:p>
    <w:p>
      <w:pPr>
        <w:pStyle w:val="Estilo"/>
      </w:pPr>
      <w:r>
        <w:t>Artículo 10.- El Instituto, en todo momento, podrá requerir al Proveedor la documentación que le permita corroborar y acreditar la información de su inscripción. El requerimiento deberá atenderse a más tardar dentro de los 10 días hábiles siguientes a su notificación.</w:t>
      </w:r>
    </w:p>
    <w:p>
      <w:pPr>
        <w:pStyle w:val="Estilo"/>
      </w:pPr>
      <w:r>
        <w:t/>
      </w:r>
    </w:p>
    <w:p>
      <w:pPr>
        <w:pStyle w:val="Estilo"/>
      </w:pPr>
      <w:r>
        <w:t/>
      </w:r>
    </w:p>
    <w:p>
      <w:pPr>
        <w:pStyle w:val="Estilo"/>
      </w:pPr>
      <w:r>
        <w:t>HOJA MEMBRETADA</w:t>
      </w:r>
    </w:p>
    <w:p>
      <w:pPr>
        <w:pStyle w:val="Estilo"/>
      </w:pPr>
      <w:r>
        <w:t/>
      </w:r>
    </w:p>
    <w:p>
      <w:pPr>
        <w:pStyle w:val="Estilo"/>
      </w:pPr>
      <w:r>
        <w:t>Artículo 11.- De conformidad con lo establecido en los artículos 207, numeral 5, y 359 del Reglamento, los proveedores que emitirán las hojas membretadas que los sujetos obligados requieran para la comprobación de gastos, incluyendo aquéllas por concepto de anuncios espectaculares en la vía pública, son quienes cuenten con el estatus de “Activo”, en el Registro.</w:t>
      </w:r>
    </w:p>
    <w:p>
      <w:pPr>
        <w:pStyle w:val="Estilo"/>
      </w:pPr>
      <w:r>
        <w:t/>
      </w:r>
    </w:p>
    <w:p>
      <w:pPr>
        <w:pStyle w:val="Estilo"/>
      </w:pPr>
      <w:r>
        <w:t>Las especificaciones del Identificador Único, de cada espectacular, se encuentran reguladas a través del Acuerdo INE/CG615/2017, aprobado el 18 de diciembre de 2017 por el Consejo General del Instituto Nacional Electoral.</w:t>
      </w:r>
    </w:p>
    <w:p>
      <w:pPr>
        <w:pStyle w:val="Estilo"/>
      </w:pPr>
      <w:r>
        <w:t/>
      </w:r>
    </w:p>
    <w:p>
      <w:pPr>
        <w:pStyle w:val="Estilo"/>
      </w:pPr>
      <w:r>
        <w:t/>
      </w:r>
    </w:p>
    <w:p>
      <w:pPr>
        <w:pStyle w:val="Estilo"/>
      </w:pPr>
      <w:r>
        <w:t>CONTRATOS CELEBRADOS CON ACTORES POLÍTICOS</w:t>
      </w:r>
    </w:p>
    <w:p>
      <w:pPr>
        <w:pStyle w:val="Estilo"/>
      </w:pPr>
      <w:r>
        <w:t/>
      </w:r>
    </w:p>
    <w:p>
      <w:pPr>
        <w:pStyle w:val="Estilo"/>
      </w:pPr>
      <w:r>
        <w:t>Artículo 12.- El módulo de captura de contratos es una herramienta informática disponible en el Registro, que permite a los proveedores, de manera segura, confiable y oportuna, la captura de la información de los contratos celebrados con los sujetos obligados para dar cumplimiento al Artículo 361 Ter, del Reglamento de Fiscalización.</w:t>
      </w:r>
    </w:p>
    <w:p>
      <w:pPr>
        <w:pStyle w:val="Estilo"/>
      </w:pPr>
      <w:r>
        <w:t/>
      </w:r>
    </w:p>
    <w:p>
      <w:pPr>
        <w:pStyle w:val="Estilo"/>
      </w:pPr>
      <w:r>
        <w:t>Artículo 13.- El registro de contratos por parte de los proveedores en el módulo, constituirá una confirmación ante el Instituto de la operación celebrada.</w:t>
      </w:r>
    </w:p>
    <w:p>
      <w:pPr>
        <w:pStyle w:val="Estilo"/>
      </w:pPr>
      <w:r>
        <w:t/>
      </w:r>
    </w:p>
    <w:p>
      <w:pPr>
        <w:pStyle w:val="Estilo"/>
      </w:pPr>
      <w:r>
        <w:t>Artículo 14.- El módulo contará con las funciones para capturar, consultar, modificar, cancelar y descargar los contratos en formato PDF.</w:t>
      </w:r>
    </w:p>
    <w:p>
      <w:pPr>
        <w:pStyle w:val="Estilo"/>
      </w:pPr>
      <w:r>
        <w:t/>
      </w:r>
    </w:p>
    <w:p>
      <w:pPr>
        <w:pStyle w:val="Estilo"/>
      </w:pPr>
      <w:r>
        <w:t>Artículo 15.- Los Proveedores tendrán obligación de registrar, en el módulo a que se refiere el Artículo anterior, los contratos celebrados con los partidos, coaliciones, precandidatos, aspirantes o candidatos independientes.</w:t>
      </w:r>
    </w:p>
    <w:p>
      <w:pPr>
        <w:pStyle w:val="Estilo"/>
      </w:pPr>
      <w:r>
        <w:t/>
      </w:r>
    </w:p>
    <w:p>
      <w:pPr>
        <w:pStyle w:val="Estilo"/>
      </w:pPr>
      <w:r>
        <w:t>Artículo 16.- Los datos personales contenidos en el aplicativo del registro de contratos en el Sistema serán tratados de conformidad con lo dispuesto en el Reglamento del Instituto Nacional Electoral en Materia de Protección de Datos Personales y demás normatividad aplicable.</w:t>
      </w:r>
    </w:p>
    <w:p>
      <w:pPr>
        <w:pStyle w:val="Estilo"/>
      </w:pPr>
      <w:r>
        <w:t/>
      </w:r>
    </w:p>
    <w:p>
      <w:pPr>
        <w:pStyle w:val="Estilo"/>
      </w:pPr>
      <w:r>
        <w:t>Artículo 17.- Los contratos deberán ser registrados en un periodo máximo de 30 días posteriores a su firma.</w:t>
      </w:r>
    </w:p>
    <w:p>
      <w:pPr>
        <w:pStyle w:val="Estilo"/>
      </w:pPr>
      <w:r>
        <w:t/>
      </w:r>
    </w:p>
    <w:p>
      <w:pPr>
        <w:pStyle w:val="Estilo"/>
      </w:pPr>
      <w:r>
        <w:t>Artículo 18.- Las modificaciones que sufran los contratos celebrados entre el proveedor y los actores políticos, deberán ser registradas en el módulo de contratos del Registro dentro de los 3 días hábiles posteriores a la firma del acuerdo o contrato modificatorio.</w:t>
      </w:r>
    </w:p>
    <w:p>
      <w:pPr>
        <w:pStyle w:val="Estilo"/>
      </w:pPr>
      <w:r>
        <w:t/>
      </w:r>
    </w:p>
    <w:p>
      <w:pPr>
        <w:pStyle w:val="Estilo"/>
      </w:pPr>
      <w:r>
        <w:t/>
      </w:r>
    </w:p>
    <w:p>
      <w:pPr>
        <w:pStyle w:val="Estilo"/>
      </w:pPr>
      <w:r>
        <w:t>DEL REFRENDO</w:t>
      </w:r>
    </w:p>
    <w:p>
      <w:pPr>
        <w:pStyle w:val="Estilo"/>
      </w:pPr>
      <w:r>
        <w:t/>
      </w:r>
    </w:p>
    <w:p>
      <w:pPr>
        <w:pStyle w:val="Estilo"/>
      </w:pPr>
      <w:r>
        <w:t>Artículo 19.- De conformidad con lo establecido en el artículo 359 bis del Reglamento, el refrendo se realizará durante el mes de febrero de cada año; lo podrán realizar aquellos proveedores que al 31 de diciembre del año inmediato anterior se encuentren inscritos y en calidad de “Activos” en el Registro; se realiza para continuar con la calidad de “Activo” y poder celebrar operaciones con los partidos políticos, aspirantes, precandidatos, candidatos y candidatos independientes.</w:t>
      </w:r>
    </w:p>
    <w:p>
      <w:pPr>
        <w:pStyle w:val="Estilo"/>
      </w:pPr>
      <w:r>
        <w:t/>
      </w:r>
    </w:p>
    <w:p>
      <w:pPr>
        <w:pStyle w:val="Estilo"/>
      </w:pPr>
      <w:r>
        <w:t>Artículo 20.- El refrendo se realizará a través de la página de internet del Instituto, en cualquiera de los siguientes vínculos: www.ine.mx, en el apartado correspondiente al Registro Nacional de Proveedores, o: https://rnp.ine.mx, a que se refiere el inciso a), del artículo 7 de los presentes Lineamientos.</w:t>
      </w:r>
    </w:p>
    <w:p>
      <w:pPr>
        <w:pStyle w:val="Estilo"/>
      </w:pPr>
      <w:r>
        <w:t/>
      </w:r>
    </w:p>
    <w:p>
      <w:pPr>
        <w:pStyle w:val="Estilo"/>
      </w:pPr>
      <w:r>
        <w:t>Artículo 21.- Será aplicable para el refrendo, en lo conducente, el procedimiento establecido en el artículo 7, y lo dispuesto en los artículos 8, 9 y 10, de los presentes Lineamientos.</w:t>
      </w:r>
    </w:p>
    <w:p>
      <w:pPr>
        <w:pStyle w:val="Estilo"/>
      </w:pPr>
      <w:r>
        <w:t/>
      </w:r>
    </w:p>
    <w:p>
      <w:pPr>
        <w:pStyle w:val="Estilo"/>
      </w:pPr>
      <w:r>
        <w:t>Artículo 22.- Para llevar a cabo el refrendo en el Registro, el sistema estará disponible todos los días y horas del mes de febrero.</w:t>
      </w:r>
    </w:p>
    <w:p>
      <w:pPr>
        <w:pStyle w:val="Estilo"/>
      </w:pPr>
      <w:r>
        <w:t/>
      </w:r>
    </w:p>
    <w:p>
      <w:pPr>
        <w:pStyle w:val="Estilo"/>
      </w:pPr>
      <w:r>
        <w:t>Artículo 23.- La fecha de refrendo será la de presentación del trámite respectivo.</w:t>
      </w:r>
    </w:p>
    <w:p>
      <w:pPr>
        <w:pStyle w:val="Estilo"/>
      </w:pPr>
      <w:r>
        <w:t/>
      </w:r>
    </w:p>
    <w:p>
      <w:pPr>
        <w:pStyle w:val="Estilo"/>
      </w:pPr>
      <w:r>
        <w:t>Artículo 24.- En caso de que algún proveedor inscrito en el Registro no realice su refrendo, será cancelado en el Registro a partir del 1 de marzo del año en que debió efectuarlo, de conformidad con lo establecido en el artículo 360, numeral 1, inciso d) del Reglamento, cambiando su estatus a cancelado por no refrendo.</w:t>
      </w:r>
    </w:p>
    <w:p>
      <w:pPr>
        <w:pStyle w:val="Estilo"/>
      </w:pPr>
      <w:r>
        <w:t/>
      </w:r>
    </w:p>
    <w:p>
      <w:pPr>
        <w:pStyle w:val="Estilo"/>
      </w:pPr>
      <w:r>
        <w:t>Se enviará correo electrónico al proveedor, mediante el cual se informará la cancelación en el Registro Nacional de Proveedores por no refrendo; así como, notificación electrónica a los responsables de finanzas de los Partidos Políticos Nacionales y locales, con la relación de proveedores cancelados.</w:t>
      </w:r>
    </w:p>
    <w:p>
      <w:pPr>
        <w:pStyle w:val="Estilo"/>
      </w:pPr>
      <w:r>
        <w:t/>
      </w:r>
    </w:p>
    <w:p>
      <w:pPr>
        <w:pStyle w:val="Estilo"/>
      </w:pPr>
      <w:r>
        <w:t>El Instituto dará a conocer en su página de internet, que proveedores fueron cancelados por no presentar su refrendo, en el Registro Nacional de Proveedores.</w:t>
      </w:r>
    </w:p>
    <w:p>
      <w:pPr>
        <w:pStyle w:val="Estilo"/>
      </w:pPr>
      <w:r>
        <w:t/>
      </w:r>
    </w:p>
    <w:p>
      <w:pPr>
        <w:pStyle w:val="Estilo"/>
      </w:pPr>
      <w:r>
        <w:t>Artículo 25.- No estarán obligados a presentar su refrendo, los proveedores que se hayan reinscrito o reactivado durante los meses de enero y febrero del año correspondiente.</w:t>
      </w:r>
    </w:p>
    <w:p>
      <w:pPr>
        <w:pStyle w:val="Estilo"/>
      </w:pPr>
      <w:r>
        <w:t/>
      </w:r>
    </w:p>
    <w:p>
      <w:pPr>
        <w:pStyle w:val="Estilo"/>
      </w:pPr>
      <w:r>
        <w:t>Al concluir el trámite de refrendo, el Sistema emitirá un acuse que servirá de comprobante del movimiento realizado.</w:t>
      </w:r>
    </w:p>
    <w:p>
      <w:pPr>
        <w:pStyle w:val="Estilo"/>
      </w:pPr>
      <w:r>
        <w:t/>
      </w:r>
    </w:p>
    <w:p>
      <w:pPr>
        <w:pStyle w:val="Estilo"/>
      </w:pPr>
      <w:r>
        <w:t/>
      </w:r>
    </w:p>
    <w:p>
      <w:pPr>
        <w:pStyle w:val="Estilo"/>
      </w:pPr>
      <w:r>
        <w:t>DE LA CANCELACIÓN VOLUNTARIA EN EL REGISTRO.</w:t>
      </w:r>
    </w:p>
    <w:p>
      <w:pPr>
        <w:pStyle w:val="Estilo"/>
      </w:pPr>
      <w:r>
        <w:t/>
      </w:r>
    </w:p>
    <w:p>
      <w:pPr>
        <w:pStyle w:val="Estilo"/>
      </w:pPr>
      <w:r>
        <w:t>Artículo 26.- Los proveedores podrán cancelar voluntariamente su Registro cuando así lo deseen, de conformidad con el artículo 360 numeral 1, inciso c) del Reglamento.</w:t>
      </w:r>
    </w:p>
    <w:p>
      <w:pPr>
        <w:pStyle w:val="Estilo"/>
      </w:pPr>
      <w:r>
        <w:t/>
      </w:r>
    </w:p>
    <w:p>
      <w:pPr>
        <w:pStyle w:val="Estilo"/>
      </w:pPr>
      <w:r>
        <w:t>Artículo 27.- La cancelación voluntaria se realizará a través de cualquiera de los siguientes vínculos: www.ine.mx, en el apartado correspondiente al Registro Nacional de Proveedores, o: https://rnp.ine.mx, a que se refiere el inciso a), del artículo 7, de los presentes Lineamientos, en el apartado correspondiente al Registro Nacional de Proveedores, y observando el procedimiento siguiente:</w:t>
      </w:r>
    </w:p>
    <w:p>
      <w:pPr>
        <w:pStyle w:val="Estilo"/>
      </w:pPr>
      <w:r>
        <w:t/>
      </w:r>
    </w:p>
    <w:p>
      <w:pPr>
        <w:pStyle w:val="Estilo"/>
      </w:pPr>
      <w:r>
        <w:t>1. En la sección “Acceso a Proveedores” se ingresarán los archivos “.cer” y “.key” de la e.firma y se capturará la contraseña de su clave privada.</w:t>
      </w:r>
    </w:p>
    <w:p>
      <w:pPr>
        <w:pStyle w:val="Estilo"/>
      </w:pPr>
      <w:r>
        <w:t/>
      </w:r>
    </w:p>
    <w:p>
      <w:pPr>
        <w:pStyle w:val="Estilo"/>
      </w:pPr>
      <w:r>
        <w:t>2. En el menú principal se seleccionará la opción “Baja de proveedor”.</w:t>
      </w:r>
    </w:p>
    <w:p>
      <w:pPr>
        <w:pStyle w:val="Estilo"/>
      </w:pPr>
      <w:r>
        <w:t/>
      </w:r>
    </w:p>
    <w:p>
      <w:pPr>
        <w:pStyle w:val="Estilo"/>
      </w:pPr>
      <w:r>
        <w:t>3. Seleccionar el motivo por el cual realiza la cancelación voluntaria.</w:t>
      </w:r>
    </w:p>
    <w:p>
      <w:pPr>
        <w:pStyle w:val="Estilo"/>
      </w:pPr>
      <w:r>
        <w:t/>
      </w:r>
    </w:p>
    <w:p>
      <w:pPr>
        <w:pStyle w:val="Estilo"/>
      </w:pPr>
      <w:r>
        <w:t>4. Aceptar los términos y condiciones del sistema, utilizando para tal efecto su e.firma.</w:t>
      </w:r>
    </w:p>
    <w:p>
      <w:pPr>
        <w:pStyle w:val="Estilo"/>
      </w:pPr>
      <w:r>
        <w:t/>
      </w:r>
    </w:p>
    <w:p>
      <w:pPr>
        <w:pStyle w:val="Estilo"/>
      </w:pPr>
      <w:r>
        <w:t>Tratándose de personas morales deberán utilizar la e.firma asociada al RFC de la misma, por lo que no se deberá utilizar la e.firma del representante legal.</w:t>
      </w:r>
    </w:p>
    <w:p>
      <w:pPr>
        <w:pStyle w:val="Estilo"/>
      </w:pPr>
      <w:r>
        <w:t/>
      </w:r>
    </w:p>
    <w:p>
      <w:pPr>
        <w:pStyle w:val="Estilo"/>
      </w:pPr>
      <w:r>
        <w:t>Artículo 28.- Al concluir la cancelación voluntaria en el registro, el sistema emitirá un acuse que servirá de comprobante del movimiento realizado.</w:t>
      </w:r>
    </w:p>
    <w:p>
      <w:pPr>
        <w:pStyle w:val="Estilo"/>
      </w:pPr>
      <w:r>
        <w:t/>
      </w:r>
    </w:p>
    <w:p>
      <w:pPr>
        <w:pStyle w:val="Estilo"/>
      </w:pPr>
      <w:r>
        <w:t>Artículo 29.- La fecha de baja en el registro será la de presentación del trámite respectivo.</w:t>
      </w:r>
    </w:p>
    <w:p>
      <w:pPr>
        <w:pStyle w:val="Estilo"/>
      </w:pPr>
      <w:r>
        <w:t/>
      </w:r>
    </w:p>
    <w:p>
      <w:pPr>
        <w:pStyle w:val="Estilo"/>
      </w:pPr>
      <w:r>
        <w:t/>
      </w:r>
    </w:p>
    <w:p>
      <w:pPr>
        <w:pStyle w:val="Estilo"/>
      </w:pPr>
      <w:r>
        <w:t>DE LA REINSCRIPCIÓN</w:t>
      </w:r>
    </w:p>
    <w:p>
      <w:pPr>
        <w:pStyle w:val="Estilo"/>
      </w:pPr>
      <w:r>
        <w:t/>
      </w:r>
    </w:p>
    <w:p>
      <w:pPr>
        <w:pStyle w:val="Estilo"/>
      </w:pPr>
      <w:r>
        <w:t>Artículo 30.- La reinscripción de Proveedores procederá para quienes ya hayan estado inscritos en el Registro, siempre y cuando cumplan con los requisitos siguientes:</w:t>
      </w:r>
    </w:p>
    <w:p>
      <w:pPr>
        <w:pStyle w:val="Estilo"/>
      </w:pPr>
      <w:r>
        <w:t/>
      </w:r>
    </w:p>
    <w:p>
      <w:pPr>
        <w:pStyle w:val="Estilo"/>
      </w:pPr>
      <w:r>
        <w:t>a) Encontrase inscrito en el Registro, con estatus diferente a “Activo”.</w:t>
      </w:r>
    </w:p>
    <w:p>
      <w:pPr>
        <w:pStyle w:val="Estilo"/>
      </w:pPr>
      <w:r>
        <w:t/>
      </w:r>
    </w:p>
    <w:p>
      <w:pPr>
        <w:pStyle w:val="Estilo"/>
      </w:pPr>
      <w:r>
        <w:t>b) No haber sido cancelado en el Registro por alguna de las causales siguientes:</w:t>
      </w:r>
    </w:p>
    <w:p>
      <w:pPr>
        <w:pStyle w:val="Estilo"/>
      </w:pPr>
      <w:r>
        <w:t/>
      </w:r>
    </w:p>
    <w:p>
      <w:pPr>
        <w:pStyle w:val="Estilo"/>
      </w:pPr>
      <w:r>
        <w:t>I. Ser calificado por el SAT como contribuyente con operaciones inexistentes.</w:t>
      </w:r>
    </w:p>
    <w:p>
      <w:pPr>
        <w:pStyle w:val="Estilo"/>
      </w:pPr>
      <w:r>
        <w:t/>
      </w:r>
    </w:p>
    <w:p>
      <w:pPr>
        <w:pStyle w:val="Estilo"/>
      </w:pPr>
      <w:r>
        <w:t>II. Ser reportado por la Unidad de Inteligencia Financiera como persona física o moral vinculada con operaciones con recursos de procedencia ilícita.</w:t>
      </w:r>
    </w:p>
    <w:p>
      <w:pPr>
        <w:pStyle w:val="Estilo"/>
      </w:pPr>
      <w:r>
        <w:t/>
      </w:r>
    </w:p>
    <w:p>
      <w:pPr>
        <w:pStyle w:val="Estilo"/>
      </w:pPr>
      <w:r>
        <w:t>III. Por liquidación o disolución de la sociedad, tratándose de persona moral.</w:t>
      </w:r>
    </w:p>
    <w:p>
      <w:pPr>
        <w:pStyle w:val="Estilo"/>
      </w:pPr>
      <w:r>
        <w:t/>
      </w:r>
    </w:p>
    <w:p>
      <w:pPr>
        <w:pStyle w:val="Estilo"/>
      </w:pPr>
      <w:r>
        <w:t>IV. Por muerte del proveedor, en caso de persona física.</w:t>
      </w:r>
    </w:p>
    <w:p>
      <w:pPr>
        <w:pStyle w:val="Estilo"/>
      </w:pPr>
      <w:r>
        <w:t/>
      </w:r>
    </w:p>
    <w:p>
      <w:pPr>
        <w:pStyle w:val="Estilo"/>
      </w:pPr>
      <w:r>
        <w:t>Artículo 31. Será aplicable para la reinscripción, en lo conducente, el procedimiento establecido en el artículo 7, y lo dispuesto en los artículos 8, 9 y 10, de los presentes Lineamientos.</w:t>
      </w:r>
    </w:p>
    <w:p>
      <w:pPr>
        <w:pStyle w:val="Estilo"/>
      </w:pPr>
      <w:r>
        <w:t/>
      </w:r>
    </w:p>
    <w:p>
      <w:pPr>
        <w:pStyle w:val="Estilo"/>
      </w:pPr>
      <w:r>
        <w:t/>
      </w:r>
    </w:p>
    <w:p>
      <w:pPr>
        <w:pStyle w:val="Estilo"/>
      </w:pPr>
      <w:r>
        <w:t>DE LA CANCELACIÓN DEL REGISTRO POR LA AUTORIDAD.</w:t>
      </w:r>
    </w:p>
    <w:p>
      <w:pPr>
        <w:pStyle w:val="Estilo"/>
      </w:pPr>
      <w:r>
        <w:t/>
      </w:r>
    </w:p>
    <w:p>
      <w:pPr>
        <w:pStyle w:val="Estilo"/>
      </w:pPr>
      <w:r>
        <w:t>Artículo 32.- La Unidad Técnica, con base en lo dispuesto en el artículo 360, numeral 1, incisos a), b), d), e) o f), del Reglamento, deberá cancelar el Registro del Proveedor en los supuestos siguientes:</w:t>
      </w:r>
    </w:p>
    <w:p>
      <w:pPr>
        <w:pStyle w:val="Estilo"/>
      </w:pPr>
      <w:r>
        <w:t/>
      </w:r>
    </w:p>
    <w:p>
      <w:pPr>
        <w:pStyle w:val="Estilo"/>
      </w:pPr>
      <w:r>
        <w:t>a) Cuando sea calificado por el SAT como contribuyente con operaciones presuntamente inexistentes.</w:t>
      </w:r>
    </w:p>
    <w:p>
      <w:pPr>
        <w:pStyle w:val="Estilo"/>
      </w:pPr>
      <w:r>
        <w:t/>
      </w:r>
    </w:p>
    <w:p>
      <w:pPr>
        <w:pStyle w:val="Estilo"/>
      </w:pPr>
      <w:r>
        <w:t>b) Cuando sea reportado por la Unidad de Inteligencia Financiera, como persona física o moral vinculada con operaciones con recursos de procedencia ilícita.</w:t>
      </w:r>
    </w:p>
    <w:p>
      <w:pPr>
        <w:pStyle w:val="Estilo"/>
      </w:pPr>
      <w:r>
        <w:t/>
      </w:r>
    </w:p>
    <w:p>
      <w:pPr>
        <w:pStyle w:val="Estilo"/>
      </w:pPr>
      <w:r>
        <w:t>c) Por no refrendar el registro ante el Instituto.</w:t>
      </w:r>
    </w:p>
    <w:p>
      <w:pPr>
        <w:pStyle w:val="Estilo"/>
      </w:pPr>
      <w:r>
        <w:t/>
      </w:r>
    </w:p>
    <w:p>
      <w:pPr>
        <w:pStyle w:val="Estilo"/>
      </w:pPr>
      <w:r>
        <w:t>d) Por liquidación o disolución de la sociedad, en caso de persona moral.</w:t>
      </w:r>
    </w:p>
    <w:p>
      <w:pPr>
        <w:pStyle w:val="Estilo"/>
      </w:pPr>
      <w:r>
        <w:t/>
      </w:r>
    </w:p>
    <w:p>
      <w:pPr>
        <w:pStyle w:val="Estilo"/>
      </w:pPr>
      <w:r>
        <w:t>e) Por muerte del proveedor, en caso de persona física.</w:t>
      </w:r>
    </w:p>
    <w:p>
      <w:pPr>
        <w:pStyle w:val="Estilo"/>
      </w:pPr>
      <w:r>
        <w:t/>
      </w:r>
    </w:p>
    <w:p>
      <w:pPr>
        <w:pStyle w:val="Estilo"/>
      </w:pPr>
      <w:r>
        <w:t>Artículo 33.- La Unidad Técnica, en colaboración con las autoridades jurisdiccionales en materia electoral, la Unidad de Inteligencia Financiera y el SAT, podrá allegarse de la información necesaria para determinar la procedencia de la cancelación, sin previo aviso para el proveedor.</w:t>
      </w:r>
    </w:p>
    <w:p>
      <w:pPr>
        <w:pStyle w:val="Estilo"/>
      </w:pPr>
      <w:r>
        <w:t/>
      </w:r>
    </w:p>
    <w:p>
      <w:pPr>
        <w:pStyle w:val="Estilo"/>
      </w:pPr>
      <w:r>
        <w:t>Artículo 34.- Para la cancelación del Registro por las causales señaladas en los incisos d) y e), del artículo 32, de los presentes Lineamientos, bastará con que cualquier persona presente ante la Unidad Técnica, el acuse de recibo de la cancelación en el Registro Federal de Contribuyentes, que al efecto emita el SAT.</w:t>
      </w:r>
    </w:p>
    <w:p>
      <w:pPr>
        <w:pStyle w:val="Estilo"/>
      </w:pPr>
      <w:r>
        <w:t/>
      </w:r>
    </w:p>
    <w:p>
      <w:pPr>
        <w:pStyle w:val="Estilo"/>
      </w:pPr>
      <w:r>
        <w:t>También serán causales de cancelación en el Registro Nacional de Proveedores, cuando el SAT reporte al Instituto que el proveedor se encuentra en alguno de los estatus siguientes:</w:t>
      </w:r>
    </w:p>
    <w:p>
      <w:pPr>
        <w:pStyle w:val="Estilo"/>
      </w:pPr>
      <w:r>
        <w:t/>
      </w:r>
    </w:p>
    <w:p>
      <w:pPr>
        <w:pStyle w:val="Estilo"/>
      </w:pPr>
      <w:r>
        <w:t>Tratándose de personas físicas y morales:</w:t>
      </w:r>
    </w:p>
    <w:p>
      <w:pPr>
        <w:pStyle w:val="Estilo"/>
      </w:pPr>
      <w:r>
        <w:t/>
      </w:r>
    </w:p>
    <w:p>
      <w:pPr>
        <w:pStyle w:val="Estilo"/>
      </w:pPr>
      <w:r>
        <w:t>a) Suspensión de actividades.</w:t>
      </w:r>
    </w:p>
    <w:p>
      <w:pPr>
        <w:pStyle w:val="Estilo"/>
      </w:pPr>
      <w:r>
        <w:t/>
      </w:r>
    </w:p>
    <w:p>
      <w:pPr>
        <w:pStyle w:val="Estilo"/>
      </w:pPr>
      <w:r>
        <w:t>Tratándose de personas morales:</w:t>
      </w:r>
    </w:p>
    <w:p>
      <w:pPr>
        <w:pStyle w:val="Estilo"/>
      </w:pPr>
      <w:r>
        <w:t/>
      </w:r>
    </w:p>
    <w:p>
      <w:pPr>
        <w:pStyle w:val="Estilo"/>
      </w:pPr>
      <w:r>
        <w:t>b) Inicio de procedimiento de concurso mercantil.</w:t>
      </w:r>
    </w:p>
    <w:p>
      <w:pPr>
        <w:pStyle w:val="Estilo"/>
      </w:pPr>
      <w:r>
        <w:t/>
      </w:r>
    </w:p>
    <w:p>
      <w:pPr>
        <w:pStyle w:val="Estilo"/>
      </w:pPr>
      <w:r>
        <w:t>Artículo 35.- La Unidad Técnica realizará la cancelación en el Registro por liquidación o disolución de la sociedad, así como por causa de muerte cuando se trate de personas físicas. Una vez realizado el proceso de cancelación el sistema reflejará el estatus de cancelado por la autoridad.</w:t>
      </w:r>
    </w:p>
    <w:p>
      <w:pPr>
        <w:pStyle w:val="Estilo"/>
      </w:pPr>
      <w:r>
        <w:t/>
      </w:r>
    </w:p>
    <w:p>
      <w:pPr>
        <w:pStyle w:val="Estilo"/>
      </w:pPr>
      <w:r>
        <w:t>Artículo 36.- El Instituto, en todo caso, enviará una notificación a los correos electrónicos proporcionados por el proveedor, que contendrán la confirmación de la cancelación en el Registro Nacional de Proveedores.</w:t>
      </w:r>
    </w:p>
    <w:p>
      <w:pPr>
        <w:pStyle w:val="Estilo"/>
      </w:pPr>
      <w:r>
        <w:t/>
      </w:r>
    </w:p>
    <w:p>
      <w:pPr>
        <w:pStyle w:val="Estilo"/>
      </w:pPr>
      <w:r>
        <w:t>Artículo 37.- La fecha de cancelación será la del día en que se ubique dentro del supuesto de procedencia de la misma, excepto el supuesto en el que no se lleve a cabo el refrendo, estando obligado a ello, en el cual se considerará efectuada el 1 de marzo del año de que se trate.</w:t>
      </w:r>
    </w:p>
    <w:p>
      <w:pPr>
        <w:pStyle w:val="Estilo"/>
      </w:pPr>
      <w:r>
        <w:t/>
      </w:r>
    </w:p>
    <w:p>
      <w:pPr>
        <w:pStyle w:val="Estilo"/>
      </w:pPr>
      <w:r>
        <w:t/>
      </w:r>
    </w:p>
    <w:p>
      <w:pPr>
        <w:pStyle w:val="Estilo"/>
      </w:pPr>
      <w:r>
        <w:t>REACTIVACIÓN DEL REGISTRO TRATÁNDOSE DE CANCELACIÓN POR LA AUTORIDAD</w:t>
      </w:r>
    </w:p>
    <w:p>
      <w:pPr>
        <w:pStyle w:val="Estilo"/>
      </w:pPr>
      <w:r>
        <w:t/>
      </w:r>
    </w:p>
    <w:p>
      <w:pPr>
        <w:pStyle w:val="Estilo"/>
      </w:pPr>
      <w:r>
        <w:t>Articulo 38.- Los proveedores a quienes se les haya cancelado el Registro por cualquiera de los supuestos a que se refiere el artículo 360, numeral 1, incisos a) y b) del Reglamento de Fiscalización, en relación con el artículo 32, incisos a) y b) del presente Acuerdo, podrán reactivar su registro mediante el siguiente procedimiento:</w:t>
      </w:r>
    </w:p>
    <w:p>
      <w:pPr>
        <w:pStyle w:val="Estilo"/>
      </w:pPr>
      <w:r>
        <w:t/>
      </w:r>
    </w:p>
    <w:p>
      <w:pPr>
        <w:pStyle w:val="Estilo"/>
      </w:pPr>
      <w:r>
        <w:t>a) Tratándose del inciso a), a que se refiere el párrafo que antecede, el proveedor que hubiese sido cancelado, deberá obtener del SAT la Constancia o documento oficial en el cual señale que ha dejado de identificarse como contribuyente con operaciones presuntamente inexistentes.</w:t>
      </w:r>
    </w:p>
    <w:p>
      <w:pPr>
        <w:pStyle w:val="Estilo"/>
      </w:pPr>
      <w:r>
        <w:t/>
      </w:r>
    </w:p>
    <w:p>
      <w:pPr>
        <w:pStyle w:val="Estilo"/>
      </w:pPr>
      <w:r>
        <w:t>b) Tratándose del supuesto contenido en el inciso b) antes citado, el proveedor que hubiese sido cancelado, deberá obtener documento emitido por autoridad competente o sentencia ejecutoria, en el que se haya dejado sin efectos o se haya declarado la nulidad del acto de autoridad que lo vinculara con operaciones con recursos de procedencia ilícita.</w:t>
      </w:r>
    </w:p>
    <w:p>
      <w:pPr>
        <w:pStyle w:val="Estilo"/>
      </w:pPr>
      <w:r>
        <w:t/>
      </w:r>
    </w:p>
    <w:p>
      <w:pPr>
        <w:pStyle w:val="Estilo"/>
      </w:pPr>
      <w:r>
        <w:t>c) Ingresarán a la página del Instituto, en cualquiera de los siguientes vínculos: www.ine.mx, en el apartado correspondiente al Registro Nacional de Proveedores, o: https://rnp.ine.mx, a que se refiere el inciso a) del Artículo 7 de los presentes Lineamientos para obtener el formato de solicitud de reactivación del registro, proporcionando la información que en el mismo se solicita.</w:t>
      </w:r>
    </w:p>
    <w:p>
      <w:pPr>
        <w:pStyle w:val="Estilo"/>
      </w:pPr>
      <w:r>
        <w:t/>
      </w:r>
    </w:p>
    <w:p>
      <w:pPr>
        <w:pStyle w:val="Estilo"/>
      </w:pPr>
      <w:r>
        <w:t>d) Presentarán en oficialía de partes de la Unidad Técnica, escrito libre dirigido al Titular de la misma solicitando la reactivación de su registro, anexando en original, o copia certificada, la constancia, documento o sentencia, según corresponda de conformidad con los incisos a) y b) del presente Artículo, mismos que no podrá tener una antigüedad mayor a 10 días hábiles al de su emisión a la fecha de presentación, así como el formato que se señala en el inciso anterior, que contenga su firma autógrafa o de su representante legal debidamente acreditado.</w:t>
      </w:r>
    </w:p>
    <w:p>
      <w:pPr>
        <w:pStyle w:val="Estilo"/>
      </w:pPr>
      <w:r>
        <w:t/>
      </w:r>
    </w:p>
    <w:p>
      <w:pPr>
        <w:pStyle w:val="Estilo"/>
      </w:pPr>
      <w:r>
        <w:t>e) La Unidad Técnica verificará y analizará la documentación e información proporcionada y, en su caso, la que obra en el Registro para que en un lapso no mayor a 10 días naturales emita respuesta por escrito acerca de la procedencia de la solicitud presentada.</w:t>
      </w:r>
    </w:p>
    <w:p>
      <w:pPr>
        <w:pStyle w:val="Estilo"/>
      </w:pPr>
      <w:r>
        <w:t/>
      </w:r>
    </w:p>
    <w:p>
      <w:pPr>
        <w:pStyle w:val="Estilo"/>
      </w:pPr>
      <w:r>
        <w:t>f) Para aquellas solicitudes que resulten procedentes, la Unidad Técnica reactivará dentro del mismo lapso señalado en el inciso anterior, el registro del proveedor.</w:t>
      </w:r>
    </w:p>
    <w:p>
      <w:pPr>
        <w:pStyle w:val="Estilo"/>
      </w:pPr>
      <w:r>
        <w:t/>
      </w:r>
    </w:p>
    <w:p>
      <w:pPr>
        <w:pStyle w:val="Estilo"/>
      </w:pPr>
      <w:r>
        <w:t>g) En el caso de que no resulte procedente la solicitud, el Instituto informará, mediante oficio dirigido al proveedor, el motivo de su negativa, quedando a salvo su derecho de presentar nueva solicitud de reactivación en los términos precisados en el presente Artículo.</w:t>
      </w:r>
    </w:p>
    <w:p>
      <w:pPr>
        <w:pStyle w:val="Estilo"/>
      </w:pPr>
      <w:r>
        <w:t/>
      </w:r>
    </w:p>
    <w:p>
      <w:pPr>
        <w:pStyle w:val="Estilo"/>
      </w:pPr>
      <w:r>
        <w:t/>
      </w:r>
    </w:p>
    <w:p>
      <w:pPr>
        <w:pStyle w:val="Estilo"/>
      </w:pPr>
      <w:r>
        <w:t>DEL LISTADO PÚBLICO DE PROVEEDORES</w:t>
      </w:r>
    </w:p>
    <w:p>
      <w:pPr>
        <w:pStyle w:val="Estilo"/>
      </w:pPr>
      <w:r>
        <w:t/>
      </w:r>
    </w:p>
    <w:p>
      <w:pPr>
        <w:pStyle w:val="Estilo"/>
      </w:pPr>
      <w:r>
        <w:t>Artículo 39.- De conformidad con el artículo 358, numeral 1, del Reglamento, una vez validada la información y documentación proporcionada por los proveedores, la Unidad Técnica, publicará en la página de Internet del Instituto, en el apartado de Consulta Popular del Registro Nacional de Proveedores, el listado público de los proveedores inscritos, así como el de los proveedores cancelados por situarse en alguna de las causales señaladas en el artículo 360, numeral 1 del mismo ordenamiento.</w:t>
      </w:r>
    </w:p>
    <w:p>
      <w:pPr>
        <w:pStyle w:val="Estilo"/>
      </w:pPr>
      <w:r>
        <w:t/>
      </w:r>
    </w:p>
    <w:p>
      <w:pPr>
        <w:pStyle w:val="Estilo"/>
      </w:pPr>
      <w:r>
        <w:t>El listado contendrá, al menos, los datos siguientes:</w:t>
      </w:r>
    </w:p>
    <w:p>
      <w:pPr>
        <w:pStyle w:val="Estilo"/>
      </w:pPr>
      <w:r>
        <w:t/>
      </w:r>
    </w:p>
    <w:p>
      <w:pPr>
        <w:pStyle w:val="Estilo"/>
      </w:pPr>
      <w:r>
        <w:t>a) Número asignado por el Registro (Id RNP).</w:t>
      </w:r>
    </w:p>
    <w:p>
      <w:pPr>
        <w:pStyle w:val="Estilo"/>
      </w:pPr>
      <w:r>
        <w:t/>
      </w:r>
    </w:p>
    <w:p>
      <w:pPr>
        <w:pStyle w:val="Estilo"/>
      </w:pPr>
      <w:r>
        <w:t>b) Nombre, denominación o razón social.</w:t>
      </w:r>
    </w:p>
    <w:p>
      <w:pPr>
        <w:pStyle w:val="Estilo"/>
      </w:pPr>
      <w:r>
        <w:t/>
      </w:r>
    </w:p>
    <w:p>
      <w:pPr>
        <w:pStyle w:val="Estilo"/>
      </w:pPr>
      <w:r>
        <w:t>c) Entidad en la que se encuentre su domicilio fiscal.</w:t>
      </w:r>
    </w:p>
    <w:p>
      <w:pPr>
        <w:pStyle w:val="Estilo"/>
      </w:pPr>
      <w:r>
        <w:t/>
      </w:r>
    </w:p>
    <w:p>
      <w:pPr>
        <w:pStyle w:val="Estilo"/>
      </w:pPr>
      <w:r>
        <w:t>d) Tipo de persona (física o moral).</w:t>
      </w:r>
    </w:p>
    <w:p>
      <w:pPr>
        <w:pStyle w:val="Estilo"/>
      </w:pPr>
      <w:r>
        <w:t/>
      </w:r>
    </w:p>
    <w:p>
      <w:pPr>
        <w:pStyle w:val="Estilo"/>
      </w:pPr>
      <w:r>
        <w:t>e) Estatus en el Registro.</w:t>
      </w:r>
    </w:p>
    <w:p>
      <w:pPr>
        <w:pStyle w:val="Estilo"/>
      </w:pPr>
      <w:r>
        <w:t/>
      </w:r>
    </w:p>
    <w:p>
      <w:pPr>
        <w:pStyle w:val="Estilo"/>
      </w:pPr>
      <w:r>
        <w:t>f) Fecha de inscripción, reinscripción o cancelación y</w:t>
      </w:r>
    </w:p>
    <w:p>
      <w:pPr>
        <w:pStyle w:val="Estilo"/>
      </w:pPr>
      <w:r>
        <w:t/>
      </w:r>
    </w:p>
    <w:p>
      <w:pPr>
        <w:pStyle w:val="Estilo"/>
      </w:pPr>
      <w:r>
        <w:t>g) Listado de productos y servicios.</w:t>
      </w:r>
    </w:p>
    <w:p>
      <w:pPr>
        <w:pStyle w:val="Estilo"/>
      </w:pPr>
      <w:r>
        <w:t/>
      </w:r>
    </w:p>
    <w:p>
      <w:pPr>
        <w:pStyle w:val="Estilo"/>
      </w:pPr>
      <w:r>
        <w:t>Artículo 40.- De conformidad con lo dispuesto en el artículo 359, numeral 1, inciso f), del Reglamento, el Instituto publicará en su página de Internet, en el apartado de Consulta Popular del Registro Nacional de Proveedores, el listado de los productos y servicios proporcionados por los proveedores inscritos.</w:t>
      </w:r>
    </w:p>
    <w:p>
      <w:pPr>
        <w:pStyle w:val="Estilo"/>
      </w:pPr>
      <w:r>
        <w:t/>
      </w:r>
    </w:p>
    <w:p>
      <w:pPr>
        <w:pStyle w:val="Estilo"/>
      </w:pPr>
      <w:r>
        <w:t>El listado contendrá, al menos, los datos siguientes:</w:t>
      </w:r>
    </w:p>
    <w:p>
      <w:pPr>
        <w:pStyle w:val="Estilo"/>
      </w:pPr>
      <w:r>
        <w:t/>
      </w:r>
    </w:p>
    <w:p>
      <w:pPr>
        <w:pStyle w:val="Estilo"/>
      </w:pPr>
      <w:r>
        <w:t>a) Número asignado por el Registro (Id RNP).</w:t>
      </w:r>
    </w:p>
    <w:p>
      <w:pPr>
        <w:pStyle w:val="Estilo"/>
      </w:pPr>
      <w:r>
        <w:t/>
      </w:r>
    </w:p>
    <w:p>
      <w:pPr>
        <w:pStyle w:val="Estilo"/>
      </w:pPr>
      <w:r>
        <w:t>b) Nombre, denominación o razón social.</w:t>
      </w:r>
    </w:p>
    <w:p>
      <w:pPr>
        <w:pStyle w:val="Estilo"/>
      </w:pPr>
      <w:r>
        <w:t/>
      </w:r>
    </w:p>
    <w:p>
      <w:pPr>
        <w:pStyle w:val="Estilo"/>
      </w:pPr>
      <w:r>
        <w:t>c) Identificador único de espectaculares (Id INE).</w:t>
      </w:r>
    </w:p>
    <w:p>
      <w:pPr>
        <w:pStyle w:val="Estilo"/>
      </w:pPr>
      <w:r>
        <w:t/>
      </w:r>
    </w:p>
    <w:p>
      <w:pPr>
        <w:pStyle w:val="Estilo"/>
      </w:pPr>
      <w:r>
        <w:t>d) Categoría del producto o servicio.</w:t>
      </w:r>
    </w:p>
    <w:p>
      <w:pPr>
        <w:pStyle w:val="Estilo"/>
      </w:pPr>
      <w:r>
        <w:t/>
      </w:r>
    </w:p>
    <w:p>
      <w:pPr>
        <w:pStyle w:val="Estilo"/>
      </w:pPr>
      <w:r>
        <w:t>e) Tipo del producto o servicio.</w:t>
      </w:r>
    </w:p>
    <w:p>
      <w:pPr>
        <w:pStyle w:val="Estilo"/>
      </w:pPr>
      <w:r>
        <w:t/>
      </w:r>
    </w:p>
    <w:p>
      <w:pPr>
        <w:pStyle w:val="Estilo"/>
      </w:pPr>
      <w:r>
        <w:t>f) Subtipo del producto o servicio.</w:t>
      </w:r>
    </w:p>
    <w:p>
      <w:pPr>
        <w:pStyle w:val="Estilo"/>
      </w:pPr>
      <w:r>
        <w:t/>
      </w:r>
    </w:p>
    <w:p>
      <w:pPr>
        <w:pStyle w:val="Estilo"/>
      </w:pPr>
      <w:r>
        <w:t>g) Descripción del producto o servicio.</w:t>
      </w:r>
    </w:p>
    <w:p>
      <w:pPr>
        <w:pStyle w:val="Estilo"/>
      </w:pPr>
      <w:r>
        <w:t/>
      </w:r>
    </w:p>
    <w:p>
      <w:pPr>
        <w:pStyle w:val="Estilo"/>
      </w:pPr>
      <w:r>
        <w:t>h) Estatus en el Registro.</w:t>
      </w:r>
    </w:p>
    <w:p>
      <w:pPr>
        <w:pStyle w:val="Estilo"/>
      </w:pPr>
      <w:r>
        <w:t/>
      </w:r>
    </w:p>
    <w:p>
      <w:pPr>
        <w:pStyle w:val="Estilo"/>
      </w:pPr>
      <w:r>
        <w:t>i) Catálogo.</w:t>
      </w:r>
    </w:p>
    <w:p>
      <w:pPr>
        <w:pStyle w:val="Estilo"/>
      </w:pPr>
      <w:r>
        <w:t/>
      </w:r>
    </w:p>
    <w:p>
      <w:pPr>
        <w:pStyle w:val="Estilo"/>
      </w:pPr>
      <w:r>
        <w:t>j) Precio Unitario.</w:t>
      </w:r>
    </w:p>
    <w:p>
      <w:pPr>
        <w:pStyle w:val="Estilo"/>
      </w:pPr>
      <w:r>
        <w:t/>
      </w:r>
    </w:p>
    <w:p>
      <w:pPr>
        <w:pStyle w:val="Estilo"/>
      </w:pPr>
      <w:r>
        <w:t>SEGUNDO. Se autoriza la publicación anual, en la página de internet del Instituto, a más tardar el día 31 de enero de cada año, de la convocatoria mediante la cual se invitará a los proveedores de los partidos políticos, coaliciones, precandidatos, candidatos, aspirantes o candidatos independientes a realizar su inscripción, refrendo o cancelación voluntaria en el Registro Nacional de Proveedores, según sea el caso.</w:t>
      </w:r>
    </w:p>
    <w:p>
      <w:pPr>
        <w:pStyle w:val="Estilo"/>
      </w:pPr>
      <w:r>
        <w:t/>
      </w:r>
    </w:p>
    <w:p>
      <w:pPr>
        <w:pStyle w:val="Estilo"/>
      </w:pPr>
      <w:r>
        <w:t>TERCERO. A efecto de dar máxima publicidad a las invitaciones referidas en el Punto de Acuerdo anterior, se ordena también, su publicación anual en el Diario Oficial de la Federación.</w:t>
      </w:r>
    </w:p>
    <w:p>
      <w:pPr>
        <w:pStyle w:val="Estilo"/>
      </w:pPr>
      <w:r>
        <w:t/>
      </w:r>
    </w:p>
    <w:p>
      <w:pPr>
        <w:pStyle w:val="Estilo"/>
      </w:pPr>
      <w:r>
        <w:t>CUARTO. Por única ocasión, se aprueba la inclusión de la convocatoria referida en el Punto Segundo, al presente Acuerdo como Anexo 1.</w:t>
      </w:r>
    </w:p>
    <w:p>
      <w:pPr>
        <w:pStyle w:val="Estilo"/>
      </w:pPr>
      <w:r>
        <w:t/>
      </w:r>
    </w:p>
    <w:p>
      <w:pPr>
        <w:pStyle w:val="Estilo"/>
      </w:pPr>
      <w:r>
        <w:t>QUINTO. Se aprueba el Plan de contingencia del Sistema de Registro Nacional de Proveedores, contenido en el Anexo 2 del presente Acuerdo y será aplicable hasta en tanto no se apruebe un similar que sustituya al presente.</w:t>
      </w:r>
    </w:p>
    <w:p>
      <w:pPr>
        <w:pStyle w:val="Estilo"/>
      </w:pPr>
      <w:r>
        <w:t/>
      </w:r>
    </w:p>
    <w:p>
      <w:pPr>
        <w:pStyle w:val="Estilo"/>
      </w:pPr>
      <w:r>
        <w:t>SEXTO. Con la finalidad de mantener actualizada la información que corresponde a los productos y servicios que son ofrecidos por los proveedores, por lo menos una vez al mes, el proveedor ingresará al Registro Nacional de Proveedores para realizar la actualización de la información correspondiente.</w:t>
      </w:r>
    </w:p>
    <w:p>
      <w:pPr>
        <w:pStyle w:val="Estilo"/>
      </w:pPr>
      <w:r>
        <w:t/>
      </w:r>
    </w:p>
    <w:p>
      <w:pPr>
        <w:pStyle w:val="Estilo"/>
      </w:pPr>
      <w:r>
        <w:t>SÉPTIMO. El presente Acuerdo entrará en vigor a partir del día siguiente a aquel en el que sea aprobado por parte del Consejo General del Instituto Nacional Electoral y será aplicable hasta en tanto no se apruebe un Acuerdo que sustituya al presente.</w:t>
      </w:r>
    </w:p>
    <w:p>
      <w:pPr>
        <w:pStyle w:val="Estilo"/>
      </w:pPr>
      <w:r>
        <w:t/>
      </w:r>
    </w:p>
    <w:p>
      <w:pPr>
        <w:pStyle w:val="Estilo"/>
      </w:pPr>
      <w:r>
        <w:t>OCTAVO. Todo lo no previsto en el presente Acuerdo será resuelto por la Comisión de Fiscalización del Consejo General del Instituto Nacional Electoral.</w:t>
      </w:r>
    </w:p>
    <w:p>
      <w:pPr>
        <w:pStyle w:val="Estilo"/>
      </w:pPr>
      <w:r>
        <w:t/>
      </w:r>
    </w:p>
    <w:p>
      <w:pPr>
        <w:pStyle w:val="Estilo"/>
      </w:pPr>
      <w:r>
        <w:t>NOVENO. Una vez aprobado, publíquese el presente Acuerdo en el Diario Oficial de la Federación y en la página de Internet del Instituto Nacional Electoral.</w:t>
      </w:r>
    </w:p>
    <w:p>
      <w:pPr>
        <w:pStyle w:val="Estilo"/>
      </w:pPr>
      <w:r>
        <w:t/>
      </w:r>
    </w:p>
    <w:p>
      <w:pPr>
        <w:pStyle w:val="Estilo"/>
      </w:pPr>
      <w:r>
        <w:t/>
      </w:r>
    </w:p>
    <w:p>
      <w:pPr>
        <w:pStyle w:val="Estilo"/>
      </w:pPr>
      <w:r>
        <w:t>El presente Acuerdo fue aprobado en lo general en sesión extraordinaria del Consejo General celebrada el 22 de enero de 2020, por votación unánime de los Consejeros Electorales, Licenciado Enrique Andrade González, Maestro Marco Antonio Baños Martínez, Doctora Adriana Margarita Favela Herrera, Doctor Ciro Murayama Rendón, Doctor Benito Nacif Hernández, Maestra Dania Paola Ravel Cuevas, Maestro Jaime Rivera Velázquez, Doctor José Roberto Ruiz Saldaña, Licenciada Alejandra Pamela San Martín Ríos y Valles, Maestra Beatriz Claudia Zavala Pérez y del Consejero Presidente, Doctor Lorenzo Córdova Vianello.</w:t>
      </w:r>
    </w:p>
    <w:p>
      <w:pPr>
        <w:pStyle w:val="Estilo"/>
      </w:pPr>
      <w:r>
        <w:t/>
      </w:r>
    </w:p>
    <w:p>
      <w:pPr>
        <w:pStyle w:val="Estilo"/>
      </w:pPr>
      <w:r>
        <w:t>Se aprobó en lo particular por lo que hace a los alcances de los gastos en la Jornada Electoral, en los términos del Proyecto de Acuerdo originalmente circulado, por diez votos a favor de los Consejeros Electorales, Licenciado Enrique Andrade González, Maestro Marco Antonio Baños Martínez, Doctora Adriana Margarita Favela Herrera, Doctor Ciro Murayama Rendón, Doctor Benito Nacif Hernández, Maestra Dania Paola Ravel Cuevas, Maestro Jaime Rivera Velázquez, Doctor José Roberto Ruiz Saldaña, Maestra Beatriz Claudia Zavala Pérez y del Consejero Presidente, Doctor Lorenzo Córdova Vianello, y un voto en contra de la Consejera Electoral, Licenciada Alejandra Pamela San Martín Ríos y Valles.</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p>
      <w:pPr>
        <w:pStyle w:val="Estilo"/>
      </w:pPr>
      <w:r>
        <w:t>El Acuerdo y los anexos pueden ser consultados en las siguientes direcciones electrónicas:</w:t>
      </w:r>
    </w:p>
    <w:p>
      <w:pPr>
        <w:pStyle w:val="Estilo"/>
      </w:pPr>
      <w:r>
        <w:t/>
      </w:r>
    </w:p>
    <w:p>
      <w:pPr>
        <w:pStyle w:val="Estilo"/>
      </w:pPr>
      <w:r>
        <w:t>Página INE:</w:t>
      </w:r>
    </w:p>
    <w:p>
      <w:pPr>
        <w:pStyle w:val="Estilo"/>
      </w:pPr>
      <w:r>
        <w:t/>
      </w:r>
    </w:p>
    <w:p>
      <w:pPr>
        <w:pStyle w:val="Estilo"/>
      </w:pPr>
      <w:r>
        <w:t>https://www.ine.mx/sesion-extraordinaria-del-consejo-general-22-enero-2020/</w:t>
      </w:r>
    </w:p>
    <w:p>
      <w:pPr>
        <w:pStyle w:val="Estilo"/>
      </w:pPr>
      <w:r>
        <w:t/>
      </w:r>
    </w:p>
    <w:p>
      <w:pPr>
        <w:pStyle w:val="Estilo"/>
      </w:pPr>
      <w:r>
        <w:t>Página DOF</w:t>
      </w:r>
    </w:p>
    <w:p>
      <w:pPr>
        <w:pStyle w:val="Estilo"/>
      </w:pPr>
      <w:r>
        <w:t/>
      </w:r>
    </w:p>
    <w:p>
      <w:pPr>
        <w:pStyle w:val="Estilo"/>
      </w:pPr>
      <w:r>
        <w:t>www.dof.gob.mx/2020/INE/CGext202001_22_ap_15.pdf</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