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5="http://schemas.microsoft.com/office/word/2012/wordml" xmlns:wpi="http://schemas.microsoft.com/office/word/2010/wordprocessingInk"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15 wp14">
  <w:body>
    <w:sectPr w:rsidR="00FE5F41" w:rsidSect="00942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titlePg/>
      <w:docGrid w:linePitch="360"/>
    </w:sectPr>
    <w:p>
      <w:pPr>
        <w:pStyle w:val="Estilo"/>
      </w:pPr>
      <w:r>
        <w:t>ACUERDO DEL CONSEJO GENERAL DEL INSTITUTO NACIONAL ELECTORAL, POR EL QUE SE EMITEN LOS LINEAMIENTOS PARA LLEVAR A CABO LA TRANSMISIÓN DE LOS BIENES, RECURSOS Y DEUDAS QUE CONFORMAN EL PATRIMONIO DE LOS PARTIDOS POLÍTICOS NACIONALES EN LIQUIDACIÓN, A LOS NUEVOS PARTIDOS LOCALES QUE HUBIERAN OBTENIDO SU REGISTRO EN ALGUNA ENTIDAD FEDERATIVA</w:t>
      </w:r>
    </w:p>
    <w:p>
      <w:pPr>
        <w:pStyle w:val="Estilo"/>
      </w:pPr>
      <w:r>
        <w:t/>
      </w:r>
    </w:p>
    <w:p>
      <w:pPr>
        <w:pStyle w:val="Estilo"/>
      </w:pPr>
      <w:r>
        <w:t>TEXTO ORIGINAL.</w:t>
      </w:r>
    </w:p>
    <w:p>
      <w:pPr>
        <w:pStyle w:val="Estilo"/>
      </w:pPr>
      <w:r>
        <w:t/>
      </w:r>
    </w:p>
    <w:p>
      <w:pPr>
        <w:pStyle w:val="Estilo"/>
      </w:pPr>
      <w:r>
        <w:t>Acuerdo publicado en la Primera Sección al Número 6 del Diario Oficial de la Federación, el viernes 7 de junio de 2019.</w:t>
      </w:r>
    </w:p>
    <w:p>
      <w:pPr>
        <w:pStyle w:val="Estilo"/>
      </w:pPr>
      <w:r>
        <w:t/>
      </w:r>
    </w:p>
    <w:p>
      <w:pPr>
        <w:pStyle w:val="Estilo"/>
      </w:pPr>
      <w:r>
        <w:t>Al margen un sello con el Escudo Nacional, que dice: Estados Unidos Mexicanos.- Instituto Nacional Electoral.- Consejo General.- INE/CG271/2019.</w:t>
      </w:r>
    </w:p>
    <w:p>
      <w:pPr>
        <w:pStyle w:val="Estilo"/>
      </w:pPr>
      <w:r>
        <w:t/>
      </w:r>
    </w:p>
    <w:p>
      <w:pPr>
        <w:pStyle w:val="Estilo"/>
      </w:pPr>
      <w:r>
        <w:t>ACUERDO DEL CONSEJO GENERAL DEL INSTITUTO NACIONAL ELECTORAL, POR EL QUE SE EMITEN LOS LINEAMIENTOS PARA LLEVAR A CABO LA TRANSMISIÓN DE LOS BIENES, RECURSOS Y DEUDAS QUE CONFORMAN EL PATRIMONIO DE LOS PARTIDOS POLÍTICOS NACIONALES EN LIQUIDACIÓN, A LOS NUEVOS PARTIDOS LOCALES QUE HUBIERAN OBTENIDO SU REGISTRO EN ALGUNA ENTIDAD FEDERATIVA</w:t>
      </w:r>
    </w:p>
    <w:p>
      <w:pPr>
        <w:pStyle w:val="Estilo"/>
      </w:pPr>
      <w:r>
        <w:t/>
      </w:r>
    </w:p>
    <w:p>
      <w:pPr>
        <w:pStyle w:val="Estilo"/>
      </w:pPr>
      <w:r>
        <w:t>ANTECEDENTES</w:t>
      </w:r>
    </w:p>
    <w:p>
      <w:pPr>
        <w:pStyle w:val="Estilo"/>
      </w:pPr>
      <w:r>
        <w:t/>
      </w:r>
    </w:p>
    <w:p>
      <w:pPr>
        <w:pStyle w:val="Estilo"/>
      </w:pPr>
      <w:r>
        <w:t>[…]</w:t>
      </w:r>
    </w:p>
    <w:p>
      <w:pPr>
        <w:pStyle w:val="Estilo"/>
      </w:pPr>
      <w:r>
        <w:t/>
      </w:r>
    </w:p>
    <w:p>
      <w:pPr>
        <w:pStyle w:val="Estilo"/>
      </w:pPr>
      <w:r>
        <w:t>CONSIDERACIONES</w:t>
      </w:r>
    </w:p>
    <w:p>
      <w:pPr>
        <w:pStyle w:val="Estilo"/>
      </w:pPr>
      <w:r>
        <w:t/>
      </w:r>
    </w:p>
    <w:p>
      <w:pPr>
        <w:pStyle w:val="Estilo"/>
      </w:pPr>
      <w:r>
        <w:t>[…]</w:t>
      </w:r>
    </w:p>
    <w:p>
      <w:pPr>
        <w:pStyle w:val="Estilo"/>
      </w:pPr>
      <w:r>
        <w:t/>
      </w:r>
    </w:p>
    <w:p>
      <w:pPr>
        <w:pStyle w:val="Estilo"/>
      </w:pPr>
      <w:r>
        <w:t>En virtud de lo anterior y con fundamento en lo previsto en los artículos 41, Base V, apartados A, párrafos primero y segundo y B, penúltimo párrafo de la Constitución Política de los Estados Unidos Mexicanos; 192, numeral 1, incisos a), j) y ñ); 196, numeral 1; y 199, numeral 1, inciso i) de la Ley General de Instituciones y Procedimientos Electorales; artículos 94 numeral 1, 95, 96 y 97 de la Ley General de Partidos Políticos; así como 384 numeral 1, inciso e), 385 numerales 1 y 2, 386, numeral 1, inciso a), fracción IV, 388 numerales 1 y 3 del Reglamento de Fiscalización, se ha determinado emitir el siguiente: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ACUERDO</w:t>
      </w:r>
    </w:p>
    <w:p>
      <w:pPr>
        <w:pStyle w:val="Estilo"/>
      </w:pPr>
      <w:r>
        <w:t/>
      </w:r>
    </w:p>
    <w:p>
      <w:pPr>
        <w:pStyle w:val="Estilo"/>
      </w:pPr>
      <w:r>
        <w:t>PRIMERO. Se aprueban los Lineamientos para llevar a cabo la transmisión de los bienes, recursos y deudas que conforman el patrimonio de los Partidos Políticos Nacionales en liquidación, a los nuevos partidos locales que en cada entidad federativa se hubieren constituido y cuyo registro no les haya sido revocado.</w:t>
      </w:r>
    </w:p>
    <w:p>
      <w:pPr>
        <w:pStyle w:val="Estilo"/>
      </w:pPr>
      <w:r>
        <w:t/>
      </w:r>
    </w:p>
    <w:p>
      <w:pPr>
        <w:pStyle w:val="Estilo"/>
      </w:pPr>
      <w:r>
        <w:t>SEGUNDO. El presente acuerdo entrará en vigor a partir del día siguiente al de su aprobación por el Consejo General.</w:t>
      </w:r>
    </w:p>
    <w:p>
      <w:pPr>
        <w:pStyle w:val="Estilo"/>
      </w:pPr>
      <w:r>
        <w:t/>
      </w:r>
    </w:p>
    <w:p>
      <w:pPr>
        <w:pStyle w:val="Estilo"/>
      </w:pPr>
      <w:r>
        <w:t>TERCERO. Se ordena a la Secretaría Ejecutiva del Instituto Nacional Electoral que, por su conducto, remita el presente acuerdo a la Unidad Técnica de Vinculación con los Organismos Públicos Locales a efecto de notificarlo a los Organismos Públicos Locales, para que en el ámbito de sus atribuciones realicen las acciones que en derecho corresponda para dar cumplimiento al presente acuerdo.</w:t>
      </w:r>
    </w:p>
    <w:p>
      <w:pPr>
        <w:pStyle w:val="Estilo"/>
      </w:pPr>
      <w:r>
        <w:t/>
      </w:r>
    </w:p>
    <w:p>
      <w:pPr>
        <w:pStyle w:val="Estilo"/>
      </w:pPr>
      <w:r>
        <w:t>CUARTO. Notifíquese el presente acuerdo a los Interventores de los partidos políticos nacionales en liquidación.</w:t>
      </w:r>
    </w:p>
    <w:p>
      <w:pPr>
        <w:pStyle w:val="Estilo"/>
      </w:pPr>
      <w:r>
        <w:t/>
      </w:r>
    </w:p>
    <w:p>
      <w:pPr>
        <w:pStyle w:val="Estilo"/>
      </w:pPr>
      <w:r>
        <w:t>QUINTO. Publíquese en el Diario Oficial de la Federación.</w:t>
      </w:r>
    </w:p>
    <w:p>
      <w:pPr>
        <w:pStyle w:val="Estilo"/>
      </w:pPr>
      <w:r>
        <w:t/>
      </w:r>
    </w:p>
    <w:p>
      <w:pPr>
        <w:pStyle w:val="Estilo"/>
      </w:pPr>
      <w:r>
        <w:t/>
      </w:r>
    </w:p>
    <w:p>
      <w:pPr>
        <w:pStyle w:val="Estilo"/>
      </w:pPr>
      <w:r>
        <w:t>El presente Acuerdo fue aprobado en sesión extraordinaria del Consejo General celebrada el 29 de mayo de 2019, por votación unánime de los Consejeros Electorales, Licenciado Enrique Andrade González, Maestro</w:t>
      </w:r>
    </w:p>
    <w:p>
      <w:pPr>
        <w:pStyle w:val="Estilo"/>
      </w:pPr>
      <w:r>
        <w:t>Marco Antonio Baños Martínez, Doctor Ciro Murayama Rendón, Doctor Benito Nacif Hernández, Maestra Dania Paola Ravel Cuevas, Maestro Jaime Rivera Velázquez, Doctor José Roberto Ruiz Saldaña, Licenciada</w:t>
      </w:r>
    </w:p>
    <w:p>
      <w:pPr>
        <w:pStyle w:val="Estilo"/>
      </w:pPr>
      <w:r>
        <w:t>Alejandra Pamela San Martín Ríos y Valles y del Consejero Presidente, Doctor Lorenzo Córdova Vianello, no estando presentes durante la votación las Consejeras Electorales, Doctora Adriana Margarita Favela Herrera y Maestra Beatriz Claudia Zavala Pérez.</w:t>
      </w:r>
    </w:p>
    <w:p>
      <w:pPr>
        <w:pStyle w:val="Estilo"/>
      </w:pPr>
      <w:r>
        <w:t/>
      </w:r>
    </w:p>
    <w:p>
      <w:pPr>
        <w:pStyle w:val="Estilo"/>
      </w:pPr>
      <w:r>
        <w:t>El Consejero Presidente del Consejo General, Lorenzo Córdova Vianello.- Rúbrica.- El Secretario del Consejo General, Edmundo Jacobo Molina.- Rúbrica.</w:t>
      </w:r>
    </w:p>
    <w:p>
      <w:pPr>
        <w:pStyle w:val="Estilo"/>
      </w:pPr>
      <w:r>
        <w:t/>
      </w:r>
    </w:p>
    <w:p>
      <w:pPr>
        <w:pStyle w:val="Estilo"/>
      </w:pPr>
      <w:r>
        <w:t>Página INE:</w:t>
      </w:r>
    </w:p>
    <w:p>
      <w:pPr>
        <w:pStyle w:val="Estilo"/>
      </w:pPr>
      <w:r>
        <w:t/>
      </w:r>
    </w:p>
    <w:p>
      <w:pPr>
        <w:pStyle w:val="Estilo"/>
      </w:pPr>
      <w:r>
        <w:t>https://www.ine.mx/segunda-sesion-extraordinaria-del-consejo-general-29-mayo-2019/</w:t>
      </w:r>
    </w:p>
    <w:p>
      <w:pPr>
        <w:pStyle w:val="Estilo"/>
      </w:pPr>
      <w:r>
        <w:t/>
      </w:r>
    </w:p>
    <w:p>
      <w:pPr>
        <w:pStyle w:val="Estilo"/>
      </w:pPr>
      <w:r>
        <w:t>Página DOF</w:t>
      </w:r>
    </w:p>
    <w:p>
      <w:pPr>
        <w:pStyle w:val="Estilo"/>
      </w:pPr>
      <w:r>
        <w:t/>
      </w:r>
    </w:p>
    <w:p>
      <w:pPr>
        <w:pStyle w:val="Estilo"/>
      </w:pPr>
      <w:r>
        <w:t>www.dof.gob.mx/2019/INE/CGex201905_29_ap_1.pdf</w:t>
      </w:r>
    </w:p>
    <w:p>
      <w:pPr>
        <w:pStyle w:val="Estilo"/>
      </w:pPr>
      <w:r>
        <w:t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99" w:rsidRDefault="00D11F99" w:rsidP="006E4391">
      <w:pPr>
        <w:spacing w:after="0" w:line="240" w:lineRule="auto"/>
      </w:pPr>
      <w:r>
        <w:separator/>
      </w:r>
    </w:p>
  </w:endnote>
  <w:endnote w:type="continuationSeparator" w:id="0">
    <w:p w:rsidR="00D11F99" w:rsidRDefault="00D11F9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07" w:rsidRDefault="009B0A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3E086C" w:rsidP="00275FEE">
          <w:pPr>
            <w:pStyle w:val="Piedepgina"/>
          </w:pPr>
          <w:r>
            <w:fldChar w:fldCharType="begin"/>
          </w:r>
          <w:r w:rsidR="00A9075C">
            <w:instrText xml:space="preserve"> DATE  \@ "dd/MM/yyyy hh:mm am/pm"  \* MERGEFORMAT </w:instrText>
          </w:r>
          <w:r>
            <w:fldChar w:fldCharType="separate"/>
          </w:r>
          <w:r w:rsidR="00A543C7">
            <w:rPr>
              <w:noProof/>
            </w:rPr>
            <w:t>14/06/2016 12:36 p. m.</w:t>
          </w:r>
          <w:r>
            <w:fldChar w:fldCharType="end"/>
          </w:r>
        </w:p>
      </w:tc>
      <w:tc>
        <w:tcPr>
          <w:tcW w:w="2500" w:type="pct"/>
        </w:tcPr>
        <w:sdt>
          <w:sdtPr>
            <w:id w:val="8289949"/>
            <w:docPartObj>
              <w:docPartGallery w:val="Page Numbers (Bottom of Page)"/>
              <w:docPartUnique/>
            </w:docPartObj>
          </w:sdtPr>
          <w:sdtEndPr/>
          <w:sdtContent>
            <w:p w:rsidR="00A9075C" w:rsidRDefault="003E086C" w:rsidP="00275FEE">
              <w:pPr>
                <w:pStyle w:val="Piedepgina"/>
                <w:jc w:val="right"/>
              </w:pPr>
              <w:r>
                <w:fldChar w:fldCharType="begin"/>
              </w:r>
              <w:r w:rsidR="00A9075C">
                <w:instrText xml:space="preserve"> PAGE   \* MERGEFORMAT </w:instrText>
              </w:r>
              <w:r>
                <w:fldChar w:fldCharType="separate"/>
              </w:r>
              <w:r w:rsidR="00AB15A2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  <w:p w:rsidR="00A9075C" w:rsidRDefault="00A9075C" w:rsidP="00275FEE">
          <w:pPr>
            <w:pStyle w:val="Piedepgina"/>
          </w:pPr>
        </w:p>
      </w:tc>
    </w:tr>
  </w:tbl>
  <w:p w:rsidR="00184756" w:rsidRPr="00A9075C" w:rsidRDefault="00184756" w:rsidP="00A907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D11F99">
          <w:pPr>
            <w:pStyle w:val="Piedepgina"/>
          </w:pPr>
          <w:r>
            <w:fldChar w:fldCharType="begin"/>
          </w:r>
          <w:r>
            <w:instrText xml:space="preserve"> DATE  \@ "dd/MM/yyyy hh:mm am/pm"  \* MERGEFORMAT </w:instrText>
          </w:r>
          <w:r>
            <w:fldChar w:fldCharType="separate"/>
          </w:r>
          <w:r w:rsidR="00A543C7">
            <w:rPr>
              <w:noProof/>
            </w:rPr>
            <w:t>14/06/2016 12:36 p. m.</w:t>
          </w:r>
          <w:r>
            <w:rPr>
              <w:noProof/>
            </w:rPr>
            <w:fldChar w:fldCharType="end"/>
          </w:r>
        </w:p>
      </w:tc>
      <w:tc>
        <w:tcPr>
          <w:tcW w:w="2500" w:type="pct"/>
        </w:tcPr>
        <w:sdt>
          <w:sdtPr>
            <w:id w:val="8289945"/>
            <w:docPartObj>
              <w:docPartGallery w:val="Page Numbers (Bottom of Page)"/>
              <w:docPartUnique/>
            </w:docPartObj>
          </w:sdtPr>
          <w:sdtEndPr/>
          <w:sdtContent>
            <w:p w:rsidR="00A9075C" w:rsidRDefault="00D11F99" w:rsidP="00A9075C">
              <w:pPr>
                <w:pStyle w:val="Piedepgina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B0A07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A9075C" w:rsidRDefault="00A9075C">
          <w:pPr>
            <w:pStyle w:val="Piedepgina"/>
          </w:pPr>
        </w:p>
      </w:tc>
    </w:tr>
  </w:tbl>
  <w:p w:rsidR="00FB4FE4" w:rsidRDefault="00FB4F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99" w:rsidRDefault="00D11F99" w:rsidP="006E4391">
      <w:pPr>
        <w:spacing w:after="0" w:line="240" w:lineRule="auto"/>
      </w:pPr>
      <w:r>
        <w:separator/>
      </w:r>
    </w:p>
  </w:footnote>
  <w:footnote w:type="continuationSeparator" w:id="0">
    <w:p w:rsidR="00D11F99" w:rsidRDefault="00D11F9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5="http://schemas.microsoft.com/office/word/2012/wordml" xmlns:wpi="http://schemas.microsoft.com/office/word/2010/wordprocessingInk" xmlns:w14="http://schemas.microsoft.com/office/word/2010/wordml" xmlns:wp14="http://schemas.microsoft.com/office/word/2010/wordprocessingDrawing" xmlns:mc="http://schemas.openxmlformats.org/markup-compatibility/2006" xmlns:w="http://schemas.openxmlformats.org/wordprocessingml/2006/main" mc:Ignorable="w14 w15 wp14">
  <w:p w:rsidR="009B0A07" w:rsidRDefault="009B0A07">
    <w:pPr>
      <w:pStyle w:val="Encabezado"/>
    </w:pPr>
  </w:p>
</w:hdr>
</file>

<file path=word/header2.xml><?xml version="1.0" encoding="utf-8"?>
<w:hdr xmlns:w15="http://schemas.microsoft.com/office/word/2012/wordml" xmlns:wpi="http://schemas.microsoft.com/office/word/2010/wordprocessingInk" xmlns:w14="http://schemas.microsoft.com/office/word/2010/wordml" xmlns:wp14="http://schemas.microsoft.com/office/word/2010/wordprocessingDrawing" xmlns:mc="http://schemas.openxmlformats.org/markup-compatibility/2006" xmlns:w="http://schemas.openxmlformats.org/wordprocessingml/2006/main" mc:Ignorable="w14 w15 wp14">
  <w:p w:rsidR="009B0A07" w:rsidRDefault="009B0A07">
    <w:pPr>
      <w:pStyle w:val="Encabezado"/>
    </w:pPr>
  </w:p>
</w:hdr>
</file>

<file path=word/header3.xml><?xml version="1.0" encoding="utf-8"?>
<w:hdr xmlns:w15="http://schemas.microsoft.com/office/word/2012/wordml" xmlns:wpi="http://schemas.microsoft.com/office/word/2010/wordprocessingInk" xmlns:w14="http://schemas.microsoft.com/office/word/2010/wordml" xmlns:wp14="http://schemas.microsoft.com/office/word/2010/wordprocessingDrawing" xmlns:mc="http://schemas.openxmlformats.org/markup-compatibility/2006" xmlns:w="http://schemas.openxmlformats.org/wordprocessingml/2006/main" mc:Ignorable="w14 w15 wp14">
  <w:p w:rsidR="009B0A07" w:rsidRDefault="009B0A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61FD-32D3-4367-8573-CE33F289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2016-06-14T17:36:00Z</dcterms:modified>
</cp:coreProperties>
</file>